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242AF7" w14:paraId="00A5328A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7628DC5" w14:textId="77777777" w:rsidR="00242AF7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AE57ACE" w14:textId="77777777" w:rsidR="00242AF7" w:rsidRDefault="00000000">
            <w:pPr>
              <w:spacing w:after="0" w:line="240" w:lineRule="auto"/>
            </w:pPr>
            <w:r>
              <w:t>26977</w:t>
            </w:r>
          </w:p>
        </w:tc>
      </w:tr>
      <w:tr w:rsidR="00242AF7" w14:paraId="7B31BA34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C909BCB" w14:textId="77777777" w:rsidR="00242AF7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2B59569" w14:textId="77777777" w:rsidR="00242AF7" w:rsidRDefault="00000000">
            <w:pPr>
              <w:spacing w:after="0" w:line="240" w:lineRule="auto"/>
            </w:pPr>
            <w:r>
              <w:t>OPĆINA KRAŠIĆ</w:t>
            </w:r>
          </w:p>
        </w:tc>
      </w:tr>
      <w:tr w:rsidR="00242AF7" w14:paraId="44A3071D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DC14DA8" w14:textId="77777777" w:rsidR="00242AF7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3BCD0E1B" w14:textId="77777777" w:rsidR="00242AF7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3D54AD31" w14:textId="77777777" w:rsidR="00242AF7" w:rsidRDefault="00000000">
      <w:r>
        <w:br/>
      </w:r>
    </w:p>
    <w:p w14:paraId="7484F97A" w14:textId="77777777" w:rsidR="00242AF7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C63C4DE" w14:textId="77777777" w:rsidR="00242AF7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A8442C2" w14:textId="77777777" w:rsidR="00242AF7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0F01B23E" w14:textId="77777777" w:rsidR="00242AF7" w:rsidRDefault="00242AF7"/>
    <w:p w14:paraId="4F1FBCFA" w14:textId="77777777" w:rsidR="00242AF7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FA1B577" w14:textId="77777777" w:rsidR="00242AF7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42AF7" w14:paraId="744EC3D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BB4642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833C60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B00604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E3AACF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1C9B7F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8617E0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42AF7" w14:paraId="5380F19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BB01CB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408CB4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62CBEE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362AB9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863.619,95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11DD11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2.254.168,12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5A9131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261,0</w:t>
            </w:r>
          </w:p>
        </w:tc>
      </w:tr>
      <w:tr w:rsidR="00242AF7" w14:paraId="3CB4F26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C14A89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5515FA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38F81B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92E6F2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529.443,66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B2A229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396.248,25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03ED58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74,8</w:t>
            </w:r>
          </w:p>
        </w:tc>
      </w:tr>
      <w:tr w:rsidR="00242AF7" w14:paraId="661438F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C4446B" w14:textId="77777777" w:rsidR="00242AF7" w:rsidRDefault="00242AF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817F08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F33EA9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B78A7A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334.176,29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481CD3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1.857.919,87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868E77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556,0</w:t>
            </w:r>
          </w:p>
        </w:tc>
      </w:tr>
      <w:tr w:rsidR="00242AF7" w14:paraId="6FBA074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DA5A19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BF44B4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BB7C25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964740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6.646,15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381161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1.059,10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FF99BF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15,9</w:t>
            </w:r>
          </w:p>
        </w:tc>
      </w:tr>
      <w:tr w:rsidR="00242AF7" w14:paraId="594BAF3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B544C5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1C12A9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048FC0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0B6EA0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490.694,01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9FBA9B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1.210.031,99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C694EA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246,6</w:t>
            </w:r>
          </w:p>
        </w:tc>
      </w:tr>
      <w:tr w:rsidR="00242AF7" w14:paraId="2CE8DCF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8DEBDB" w14:textId="77777777" w:rsidR="00242AF7" w:rsidRDefault="00242AF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9E1BB5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99BEDB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3B91B4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484.047,86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517E6E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1.208.972,89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6C2C36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249,8</w:t>
            </w:r>
          </w:p>
        </w:tc>
      </w:tr>
      <w:tr w:rsidR="00242AF7" w14:paraId="66FAFF4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720FA0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CE5ECB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175A5B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F208E9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4CA0CB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C176E5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42AF7" w14:paraId="78F4338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209A64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CFC65E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F9EE66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3B8869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ECF750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D8A9BB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42AF7" w14:paraId="501D8F5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6A0F59" w14:textId="77777777" w:rsidR="00242AF7" w:rsidRDefault="00242AF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DB977C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4F34D6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AA9F7A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B4EBD4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C7FC0E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42AF7" w14:paraId="04FC7BC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109F73" w14:textId="77777777" w:rsidR="00242AF7" w:rsidRDefault="00242AF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C1C403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897AA2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328700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71BF14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648.946,98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BC1EF6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6525C59A" w14:textId="77777777" w:rsidR="00242AF7" w:rsidRDefault="00242AF7">
      <w:pPr>
        <w:spacing w:after="0"/>
      </w:pPr>
    </w:p>
    <w:p w14:paraId="751AA140" w14:textId="77777777" w:rsidR="00242AF7" w:rsidRDefault="00000000">
      <w:r>
        <w:t>Ukupni prihodi i primici ostvareni su u izvještajnom razdoblju u iznosu od 2.255.227,22 eura odnosno za 159,10 % više u odnosu na ostvarenje u prethodnom izvještajnom razdoblju, apsolutna razlika iznosi 1.354.961,12 eura. U strukturi ukupno ostvarenih prihoda i primitaka najveći udio imaju prihodi poslovanja s  99,95 % udjela.</w:t>
      </w:r>
    </w:p>
    <w:p w14:paraId="19A8FB34" w14:textId="77777777" w:rsidR="00242AF7" w:rsidRDefault="00000000">
      <w:r>
        <w:t xml:space="preserve">Ukupni rashodi i izdaci ostvareni su u iznosu od 1.606.280,24 eura. U odnosu na ostvarenje u prethodnom izvještajnom razdoblju više su izvršeni za 586.142,57 eura ili 57,50 %. U </w:t>
      </w:r>
      <w:r>
        <w:lastRenderedPageBreak/>
        <w:t>strukturi ukupno ostvarenih rashoda najveći udio imaju rashodi za nabavu nefinancijske imovine s 75,33 % udjela.</w:t>
      </w:r>
    </w:p>
    <w:p w14:paraId="02B9C38D" w14:textId="77777777" w:rsidR="00242AF7" w:rsidRDefault="00000000">
      <w:r>
        <w:t>U navedenom razdoblju nije bilo ostvarenih primitaka ni izdataka od financijske imovine i zaduživanja.</w:t>
      </w:r>
    </w:p>
    <w:p w14:paraId="2B8F9A8B" w14:textId="77777777" w:rsidR="00242AF7" w:rsidRDefault="00000000">
      <w:r>
        <w:br/>
      </w:r>
    </w:p>
    <w:p w14:paraId="3F288151" w14:textId="77777777" w:rsidR="00242AF7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42AF7" w14:paraId="3948A7B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F5E176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D727F5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24D5C4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29B266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AD9FA3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D20CF9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42AF7" w14:paraId="00B8A98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56E9AE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4F75A7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615F6A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960D85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863.619,95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918101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2.254.168,12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0EED76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261,0</w:t>
            </w:r>
          </w:p>
        </w:tc>
      </w:tr>
    </w:tbl>
    <w:p w14:paraId="474B60FA" w14:textId="77777777" w:rsidR="00242AF7" w:rsidRDefault="00242AF7">
      <w:pPr>
        <w:spacing w:after="0"/>
      </w:pPr>
    </w:p>
    <w:p w14:paraId="31D4299E" w14:textId="77777777" w:rsidR="00242AF7" w:rsidRDefault="00000000">
      <w:r>
        <w:t>U razdoblju od 1. siječnja do 30. lipnja 2026. godine prihodi poslovanja ostvareni su u iznosu od 2.254.168,12 eura što je za 161,0 % više od ostvarenih prihoda poslovanja u izvještajnom razdoblju prethodne godine. Najznačajnije povećanje prihoda poslovanja u odnosu na izvještajno razdoblje prethodne godine ostvareno je od kapitalnih pomoći proračunu i izvanproračunskim korisnicima iz drugih proračuna (konto 6332), a odnose se prvenstveno na pomoći dobivene iz državnog i županijskog proračuna za projekt dogradnje dječjeg vrtića na postojeću zgradu Osnovne škole Kardinal Alojzije Stepinac Krašić. Veći su i prihodi od poreza, prihodi od kazni, upravnih mjera i ostali prihodi te prihodi od upravnih i administrativnih pristojbi. Najznačajnije smanjenje prihoda poslovanja bilježi se na prihodima od imovine.</w:t>
      </w:r>
    </w:p>
    <w:p w14:paraId="334D6CB0" w14:textId="77777777" w:rsidR="00242AF7" w:rsidRDefault="00242AF7"/>
    <w:p w14:paraId="3C4F710E" w14:textId="77777777" w:rsidR="00242AF7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42AF7" w14:paraId="1EBE01C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B10D1D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50E201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FB43B7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6186FD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848B00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D558D8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42AF7" w14:paraId="4D385BD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5708AE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F4EFCC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A0573B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3F181F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529.443,66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8D451D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396.248,25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A139F0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74,8</w:t>
            </w:r>
          </w:p>
        </w:tc>
      </w:tr>
    </w:tbl>
    <w:p w14:paraId="06283507" w14:textId="77777777" w:rsidR="00242AF7" w:rsidRDefault="00242AF7">
      <w:pPr>
        <w:spacing w:after="0"/>
      </w:pPr>
    </w:p>
    <w:p w14:paraId="4F8712ED" w14:textId="156421B7" w:rsidR="00242AF7" w:rsidRDefault="00000000">
      <w:r>
        <w:t>Rashodi poslovanja u razdoblju od 1. siječnja do 30. lipnja 2026. godine ostvareni su u iznosu od 396.248,25 eura što je za 25,20 % manje od ostvarenih rashoda poslovanja u izvještajnom razdoblju prethodne godine.  Najznačajnije smanj</w:t>
      </w:r>
      <w:r w:rsidR="0005000F">
        <w:t>e</w:t>
      </w:r>
      <w:r>
        <w:t>nje rashoda evidentirano je na materijalnim rashodima, prvenstveno rashodima za usluge, zatim financijskim rashodima, te rashodima za donacije, kazne, naknade šteta i kapitalne pomoći.  </w:t>
      </w:r>
    </w:p>
    <w:p w14:paraId="0BEDEF95" w14:textId="77777777" w:rsidR="00242AF7" w:rsidRDefault="00242AF7"/>
    <w:p w14:paraId="420CE6AB" w14:textId="77777777" w:rsidR="00242AF7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42AF7" w14:paraId="11CFB1E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FA092A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3E37F9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F60946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CE96A7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763E6F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462A41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42AF7" w14:paraId="6009929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E84D18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E286AE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55AFCD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464F92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6.646,15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6776DE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1.059,10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4812E4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15,9</w:t>
            </w:r>
          </w:p>
        </w:tc>
      </w:tr>
    </w:tbl>
    <w:p w14:paraId="6A488111" w14:textId="77777777" w:rsidR="00242AF7" w:rsidRDefault="00242AF7">
      <w:pPr>
        <w:spacing w:after="0"/>
      </w:pPr>
    </w:p>
    <w:p w14:paraId="7A8C5272" w14:textId="77777777" w:rsidR="00242AF7" w:rsidRDefault="00000000">
      <w:r>
        <w:t>Prihodi od prodaje nefinancijske imovine ostvareni su u iznosu od 1.059,10 eura što je za 84,10 % manje od ostvarenja u izvještajnom razdoblju prethodne godine. Prihodi se odnose na prodaju poljoprivrednog zemljišta u vlasništvu Općine Krašić. </w:t>
      </w:r>
    </w:p>
    <w:p w14:paraId="7443E77B" w14:textId="77777777" w:rsidR="00242AF7" w:rsidRDefault="00242AF7"/>
    <w:p w14:paraId="6C14547D" w14:textId="77777777" w:rsidR="00242AF7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42AF7" w14:paraId="72EAFA9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FA3485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BDCEEC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B81033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522D8D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AA3677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F84E92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42AF7" w14:paraId="7E24A3A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9D9FD2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091115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E12BA4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542AB0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490.694,01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F6824B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1.210.031,99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F167B7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246,6</w:t>
            </w:r>
          </w:p>
        </w:tc>
      </w:tr>
    </w:tbl>
    <w:p w14:paraId="5EA83FFF" w14:textId="77777777" w:rsidR="00242AF7" w:rsidRDefault="00242AF7">
      <w:pPr>
        <w:spacing w:after="0"/>
      </w:pPr>
    </w:p>
    <w:p w14:paraId="77AC0827" w14:textId="77777777" w:rsidR="00242AF7" w:rsidRDefault="00000000">
      <w:r>
        <w:t>Rashodi za nabavu nefinancijske imovine u razdoblju od 1. siječnja do 30. lipnja 2026. godine ostvareni su u iznosu od 1.210.031,99 eura što je povećanje za 146,60  % u odnosu na izvještajno razdoblje prethodne godine. Najznačajnije povećanje rashoda evidentirano je na rashodima za proizvedene dugotrajne imovine - poslovni objekti, a odnose se na izgradnju dječjeg vrtića u Krašiću. </w:t>
      </w:r>
    </w:p>
    <w:p w14:paraId="1DC1BD4D" w14:textId="77777777" w:rsidR="00242AF7" w:rsidRDefault="00242AF7"/>
    <w:p w14:paraId="2C87F3A3" w14:textId="77777777" w:rsidR="00242AF7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769A84AF" w14:textId="77777777" w:rsidR="00242AF7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42AF7" w14:paraId="371B4BD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E130ED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EB79B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76A867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272AE4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A564DC" w14:textId="77777777" w:rsidR="00242AF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42AF7" w14:paraId="1251238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38B9E4" w14:textId="77777777" w:rsidR="00242AF7" w:rsidRDefault="00242AF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402A4E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A3E14E" w14:textId="77777777" w:rsidR="00242AF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0747A1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6.323,66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539A3F" w14:textId="77777777" w:rsidR="00242AF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4DCDA8B2" w14:textId="77777777" w:rsidR="00242AF7" w:rsidRDefault="00242AF7">
      <w:pPr>
        <w:spacing w:after="0"/>
      </w:pPr>
    </w:p>
    <w:p w14:paraId="65CD91A6" w14:textId="77777777" w:rsidR="00242AF7" w:rsidRDefault="00000000">
      <w:r>
        <w:t>U Izvještaju o obvezama iskazuju se ukupne obveze Općine Krašić u razdoblju od 1. siječnja do 30. lipnja 2026. godine.  </w:t>
      </w:r>
    </w:p>
    <w:p w14:paraId="1A59771B" w14:textId="77777777" w:rsidR="00242AF7" w:rsidRDefault="00000000">
      <w:r>
        <w:t>Stanje obveza na kraju izvještajnog razdoblja iznosi 379.286,60 eura od čega dospjele obveze iznose 6.323,66 eura, a nedospjele obveze 372.962,94 eura.  </w:t>
      </w:r>
    </w:p>
    <w:p w14:paraId="753B0C90" w14:textId="77777777" w:rsidR="00242AF7" w:rsidRDefault="00000000">
      <w:r>
        <w:t xml:space="preserve">Dospjele obveze odnose se na obveze za materijalne rashode, ostale tekuće obveze, obveze za financijsku imovinu, obveze za predujmove, obveze za depozite i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te obveze za zajmove od trgovačkih društava i obrtnika izvan javnog sektora. </w:t>
      </w:r>
    </w:p>
    <w:p w14:paraId="755DF4A2" w14:textId="77777777" w:rsidR="00242AF7" w:rsidRDefault="00000000">
      <w:r>
        <w:t>Nedospjele obveze odnose se na obveze prema dobavljačima, obveze za zaposlene te redovite troškove poslovanja javne uprave, a najveći dio nedospjelih obveza odnosi se na obvezu prema izvođaču radova na izgradnji dječjeg vrtića u Krašiću.</w:t>
      </w:r>
    </w:p>
    <w:p w14:paraId="307EE2AA" w14:textId="77777777" w:rsidR="00242AF7" w:rsidRDefault="00242AF7"/>
    <w:p w14:paraId="0ECA5852" w14:textId="77777777" w:rsidR="00242AF7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p w14:paraId="03AAFCFD" w14:textId="77777777" w:rsidR="00242AF7" w:rsidRDefault="00000000">
      <w:pPr>
        <w:spacing w:line="240" w:lineRule="auto"/>
        <w:jc w:val="both"/>
      </w:pPr>
      <w:r>
        <w:rPr>
          <w:b/>
        </w:rPr>
        <w:t>EU izvještaj</w:t>
      </w:r>
    </w:p>
    <w:p w14:paraId="51B8160E" w14:textId="77777777" w:rsidR="00242AF7" w:rsidRDefault="00000000">
      <w:r>
        <w:t>U razdoblju od 1. siječnja do 30. lipnja 2026. godine ostvaren je prihod poslovanja u iznosu od 487.358,15 eura dok u izvještajnom razdoblju prethodne godine nije bilo ostvarenja po ovoj stavci. Navedeni prihodi odnose se na kapitalne pomoći temeljem prijenosa EU sredstava, za izgradnju dječjeg vrtića u Krašiću. </w:t>
      </w:r>
    </w:p>
    <w:p w14:paraId="1E32EE01" w14:textId="77777777" w:rsidR="00242AF7" w:rsidRDefault="00000000">
      <w:r>
        <w:t>Rashodi za nabavu nefinancijske imovine  ostvareni su u iznosu od 487.358,15 eura te su utrošena na izgradnju dječjeg vrtića dok u izvještajnom razdoblju prethodne godine nije bilo ostvarenja po ovoj stavci. </w:t>
      </w:r>
    </w:p>
    <w:p w14:paraId="22E16AD1" w14:textId="77777777" w:rsidR="00242AF7" w:rsidRDefault="00000000">
      <w:r>
        <w:t>Navedena sredstva financirana iz izvora 581 Mehanizma za oporavak i otpornost. </w:t>
      </w:r>
    </w:p>
    <w:p w14:paraId="3CCB8E38" w14:textId="77777777" w:rsidR="00242AF7" w:rsidRDefault="00242AF7"/>
    <w:sectPr w:rsidR="00242A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F7"/>
    <w:rsid w:val="0005000F"/>
    <w:rsid w:val="00242AF7"/>
    <w:rsid w:val="002A4165"/>
    <w:rsid w:val="00B7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D95E"/>
  <w15:docId w15:val="{2548D587-61B4-44AB-938D-53025441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956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Računovodstvo</cp:lastModifiedBy>
  <cp:revision>3</cp:revision>
  <dcterms:created xsi:type="dcterms:W3CDTF">2026-07-15T12:55:00Z</dcterms:created>
  <dcterms:modified xsi:type="dcterms:W3CDTF">2026-07-15T13:02:00Z</dcterms:modified>
</cp:coreProperties>
</file>