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D07BC" w14:paraId="2E96515C" w14:textId="77777777">
        <w:tblPrEx>
          <w:tblCellMar>
            <w:top w:w="0" w:type="dxa"/>
            <w:bottom w:w="0" w:type="dxa"/>
          </w:tblCellMar>
        </w:tblPrEx>
        <w:trPr>
          <w:tblCellSpacing w:w="60" w:type="dxa"/>
        </w:trPr>
        <w:tc>
          <w:tcPr>
            <w:tcW w:w="1200" w:type="pct"/>
            <w:shd w:val="clear" w:color="auto" w:fill="E7F0F9"/>
          </w:tcPr>
          <w:p w14:paraId="03DF1662" w14:textId="77777777" w:rsidR="00CD07BC" w:rsidRDefault="00000000">
            <w:pPr>
              <w:spacing w:after="0" w:line="240" w:lineRule="auto"/>
            </w:pPr>
            <w:r>
              <w:rPr>
                <w:b/>
              </w:rPr>
              <w:t>RKP broj</w:t>
            </w:r>
          </w:p>
        </w:tc>
        <w:tc>
          <w:tcPr>
            <w:tcW w:w="0" w:type="auto"/>
            <w:shd w:val="clear" w:color="auto" w:fill="E7F0F9"/>
          </w:tcPr>
          <w:p w14:paraId="206A71A4" w14:textId="77777777" w:rsidR="00CD07BC" w:rsidRDefault="00000000">
            <w:pPr>
              <w:spacing w:after="0" w:line="240" w:lineRule="auto"/>
            </w:pPr>
            <w:r>
              <w:t>26977</w:t>
            </w:r>
          </w:p>
        </w:tc>
      </w:tr>
      <w:tr w:rsidR="00CD07BC" w14:paraId="29968893" w14:textId="77777777">
        <w:tblPrEx>
          <w:tblCellMar>
            <w:top w:w="0" w:type="dxa"/>
            <w:bottom w:w="0" w:type="dxa"/>
          </w:tblCellMar>
        </w:tblPrEx>
        <w:trPr>
          <w:tblCellSpacing w:w="60" w:type="dxa"/>
        </w:trPr>
        <w:tc>
          <w:tcPr>
            <w:tcW w:w="1200" w:type="pct"/>
            <w:shd w:val="clear" w:color="auto" w:fill="E7F0F9"/>
          </w:tcPr>
          <w:p w14:paraId="57BBF36A" w14:textId="77777777" w:rsidR="00CD07BC" w:rsidRDefault="00000000">
            <w:pPr>
              <w:spacing w:after="0" w:line="240" w:lineRule="auto"/>
            </w:pPr>
            <w:r>
              <w:rPr>
                <w:b/>
              </w:rPr>
              <w:t>Naziv obveznika</w:t>
            </w:r>
          </w:p>
        </w:tc>
        <w:tc>
          <w:tcPr>
            <w:tcW w:w="0" w:type="auto"/>
            <w:shd w:val="clear" w:color="auto" w:fill="E7F0F9"/>
          </w:tcPr>
          <w:p w14:paraId="6075FDCD" w14:textId="77777777" w:rsidR="00CD07BC" w:rsidRDefault="00000000">
            <w:pPr>
              <w:spacing w:after="0" w:line="240" w:lineRule="auto"/>
            </w:pPr>
            <w:r>
              <w:t>OPĆINA KRAŠIĆ</w:t>
            </w:r>
          </w:p>
        </w:tc>
      </w:tr>
      <w:tr w:rsidR="00CD07BC" w14:paraId="6127980D" w14:textId="77777777">
        <w:tblPrEx>
          <w:tblCellMar>
            <w:top w:w="0" w:type="dxa"/>
            <w:bottom w:w="0" w:type="dxa"/>
          </w:tblCellMar>
        </w:tblPrEx>
        <w:trPr>
          <w:tblCellSpacing w:w="60" w:type="dxa"/>
        </w:trPr>
        <w:tc>
          <w:tcPr>
            <w:tcW w:w="1200" w:type="pct"/>
            <w:shd w:val="clear" w:color="auto" w:fill="E7F0F9"/>
          </w:tcPr>
          <w:p w14:paraId="0F0246D9" w14:textId="77777777" w:rsidR="00CD07BC" w:rsidRDefault="00000000">
            <w:pPr>
              <w:spacing w:after="0" w:line="240" w:lineRule="auto"/>
            </w:pPr>
            <w:r>
              <w:rPr>
                <w:b/>
              </w:rPr>
              <w:t>Razina</w:t>
            </w:r>
          </w:p>
        </w:tc>
        <w:tc>
          <w:tcPr>
            <w:tcW w:w="0" w:type="auto"/>
            <w:shd w:val="clear" w:color="auto" w:fill="E7F0F9"/>
          </w:tcPr>
          <w:p w14:paraId="6564A555" w14:textId="77777777" w:rsidR="00CD07BC" w:rsidRDefault="00000000">
            <w:pPr>
              <w:spacing w:after="0" w:line="240" w:lineRule="auto"/>
            </w:pPr>
            <w:r>
              <w:t>22</w:t>
            </w:r>
          </w:p>
        </w:tc>
      </w:tr>
    </w:tbl>
    <w:p w14:paraId="47011353" w14:textId="77777777" w:rsidR="00CD07BC" w:rsidRDefault="00000000">
      <w:r>
        <w:br/>
      </w:r>
    </w:p>
    <w:p w14:paraId="0F4F2083" w14:textId="77777777" w:rsidR="00CD07BC" w:rsidRDefault="00000000">
      <w:pPr>
        <w:spacing w:line="240" w:lineRule="auto"/>
        <w:jc w:val="center"/>
      </w:pPr>
      <w:r>
        <w:rPr>
          <w:b/>
          <w:sz w:val="28"/>
        </w:rPr>
        <w:t>BILJEŠKE UZ FINANCIJSKE IZVJEŠTAJE</w:t>
      </w:r>
    </w:p>
    <w:p w14:paraId="699EEE65" w14:textId="77777777" w:rsidR="00CD07BC" w:rsidRDefault="00000000">
      <w:pPr>
        <w:spacing w:line="240" w:lineRule="auto"/>
        <w:jc w:val="center"/>
      </w:pPr>
      <w:r>
        <w:rPr>
          <w:b/>
          <w:sz w:val="28"/>
        </w:rPr>
        <w:t>ZA RAZDOBLJE</w:t>
      </w:r>
    </w:p>
    <w:p w14:paraId="112C8A5C" w14:textId="77777777" w:rsidR="00CD07BC" w:rsidRDefault="00000000">
      <w:pPr>
        <w:spacing w:line="240" w:lineRule="auto"/>
        <w:jc w:val="center"/>
      </w:pPr>
      <w:r>
        <w:rPr>
          <w:b/>
          <w:sz w:val="28"/>
        </w:rPr>
        <w:t>I - XII 2025.</w:t>
      </w:r>
    </w:p>
    <w:p w14:paraId="74C4B3F3" w14:textId="77777777" w:rsidR="00CD07BC" w:rsidRDefault="00CD07BC"/>
    <w:p w14:paraId="39386AE3" w14:textId="77777777" w:rsidR="00CD07BC" w:rsidRDefault="00000000">
      <w:pPr>
        <w:keepNext/>
        <w:spacing w:line="240" w:lineRule="auto"/>
        <w:jc w:val="center"/>
      </w:pPr>
      <w:r>
        <w:rPr>
          <w:b/>
          <w:sz w:val="28"/>
        </w:rPr>
        <w:t>Izvještaj o prihodima i rashodima, primicima i izdacima</w:t>
      </w:r>
    </w:p>
    <w:p w14:paraId="446958D0" w14:textId="77777777" w:rsidR="00CD07B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4E2D99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80EEF1"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5B630D"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F3B8D9"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72F7A" w14:textId="77777777" w:rsidR="00CD07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B54293" w14:textId="77777777" w:rsidR="00CD07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C7C06C" w14:textId="77777777" w:rsidR="00CD07BC" w:rsidRDefault="00000000">
            <w:pPr>
              <w:keepNext/>
              <w:keepLines/>
              <w:spacing w:after="0" w:line="240" w:lineRule="auto"/>
              <w:jc w:val="center"/>
            </w:pPr>
            <w:r>
              <w:rPr>
                <w:b/>
                <w:sz w:val="18"/>
              </w:rPr>
              <w:t>Indeks (%)</w:t>
            </w:r>
          </w:p>
        </w:tc>
      </w:tr>
      <w:tr w:rsidR="00CD07BC" w14:paraId="495C9ACB" w14:textId="77777777">
        <w:tblPrEx>
          <w:tblCellMar>
            <w:top w:w="0" w:type="dxa"/>
            <w:bottom w:w="0" w:type="dxa"/>
          </w:tblCellMar>
        </w:tblPrEx>
        <w:trPr>
          <w:cantSplit/>
          <w:trHeight w:val="560"/>
        </w:trPr>
        <w:tc>
          <w:tcPr>
            <w:tcW w:w="700" w:type="dxa"/>
            <w:tcMar>
              <w:top w:w="0" w:type="dxa"/>
              <w:bottom w:w="0" w:type="dxa"/>
            </w:tcMar>
            <w:vAlign w:val="center"/>
          </w:tcPr>
          <w:p w14:paraId="466661B2" w14:textId="77777777" w:rsidR="00CD07BC" w:rsidRDefault="00000000">
            <w:pPr>
              <w:keepNext/>
              <w:keepLines/>
              <w:spacing w:after="0" w:line="240" w:lineRule="auto"/>
            </w:pPr>
            <w:r>
              <w:rPr>
                <w:sz w:val="18"/>
              </w:rPr>
              <w:t>6</w:t>
            </w:r>
          </w:p>
        </w:tc>
        <w:tc>
          <w:tcPr>
            <w:tcW w:w="3180" w:type="dxa"/>
            <w:tcMar>
              <w:top w:w="0" w:type="dxa"/>
              <w:bottom w:w="0" w:type="dxa"/>
            </w:tcMar>
            <w:vAlign w:val="center"/>
          </w:tcPr>
          <w:p w14:paraId="60BECB38" w14:textId="77777777" w:rsidR="00CD07B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2871038" w14:textId="77777777" w:rsidR="00CD07BC" w:rsidRDefault="00000000">
            <w:pPr>
              <w:keepNext/>
              <w:keepLines/>
              <w:spacing w:after="0" w:line="240" w:lineRule="auto"/>
            </w:pPr>
            <w:r>
              <w:rPr>
                <w:sz w:val="18"/>
              </w:rPr>
              <w:t>6</w:t>
            </w:r>
          </w:p>
        </w:tc>
        <w:tc>
          <w:tcPr>
            <w:tcW w:w="1860" w:type="dxa"/>
            <w:tcMar>
              <w:top w:w="0" w:type="dxa"/>
              <w:bottom w:w="0" w:type="dxa"/>
            </w:tcMar>
            <w:vAlign w:val="center"/>
          </w:tcPr>
          <w:p w14:paraId="6285E4E5" w14:textId="77777777" w:rsidR="00CD07BC" w:rsidRDefault="00000000">
            <w:pPr>
              <w:keepNext/>
              <w:keepLines/>
              <w:spacing w:after="0" w:line="240" w:lineRule="auto"/>
              <w:jc w:val="right"/>
            </w:pPr>
            <w:r>
              <w:rPr>
                <w:sz w:val="18"/>
              </w:rPr>
              <w:t>1.787.018,71</w:t>
            </w:r>
          </w:p>
        </w:tc>
        <w:tc>
          <w:tcPr>
            <w:tcW w:w="1860" w:type="dxa"/>
            <w:tcMar>
              <w:top w:w="0" w:type="dxa"/>
              <w:bottom w:w="0" w:type="dxa"/>
            </w:tcMar>
            <w:vAlign w:val="center"/>
          </w:tcPr>
          <w:p w14:paraId="45AB1A01" w14:textId="77777777" w:rsidR="00CD07BC" w:rsidRDefault="00000000">
            <w:pPr>
              <w:keepNext/>
              <w:keepLines/>
              <w:spacing w:after="0" w:line="240" w:lineRule="auto"/>
              <w:jc w:val="right"/>
            </w:pPr>
            <w:r>
              <w:rPr>
                <w:sz w:val="18"/>
              </w:rPr>
              <w:t>1.799.668,68</w:t>
            </w:r>
          </w:p>
        </w:tc>
        <w:tc>
          <w:tcPr>
            <w:tcW w:w="700" w:type="dxa"/>
            <w:tcMar>
              <w:top w:w="0" w:type="dxa"/>
              <w:bottom w:w="0" w:type="dxa"/>
            </w:tcMar>
            <w:vAlign w:val="center"/>
          </w:tcPr>
          <w:p w14:paraId="50117905" w14:textId="77777777" w:rsidR="00CD07BC" w:rsidRDefault="00000000">
            <w:pPr>
              <w:keepNext/>
              <w:keepLines/>
              <w:spacing w:after="0" w:line="240" w:lineRule="auto"/>
              <w:jc w:val="right"/>
            </w:pPr>
            <w:r>
              <w:rPr>
                <w:sz w:val="18"/>
              </w:rPr>
              <w:t>100,7</w:t>
            </w:r>
          </w:p>
        </w:tc>
      </w:tr>
      <w:tr w:rsidR="00CD07BC" w14:paraId="231515C1" w14:textId="77777777">
        <w:tblPrEx>
          <w:tblCellMar>
            <w:top w:w="0" w:type="dxa"/>
            <w:bottom w:w="0" w:type="dxa"/>
          </w:tblCellMar>
        </w:tblPrEx>
        <w:trPr>
          <w:cantSplit/>
          <w:trHeight w:val="560"/>
        </w:trPr>
        <w:tc>
          <w:tcPr>
            <w:tcW w:w="700" w:type="dxa"/>
            <w:tcMar>
              <w:top w:w="0" w:type="dxa"/>
              <w:bottom w:w="0" w:type="dxa"/>
            </w:tcMar>
            <w:vAlign w:val="center"/>
          </w:tcPr>
          <w:p w14:paraId="00AB3FC2" w14:textId="77777777" w:rsidR="00CD07BC" w:rsidRDefault="00000000">
            <w:pPr>
              <w:keepNext/>
              <w:keepLines/>
              <w:spacing w:after="0" w:line="240" w:lineRule="auto"/>
            </w:pPr>
            <w:r>
              <w:rPr>
                <w:sz w:val="18"/>
              </w:rPr>
              <w:t>3</w:t>
            </w:r>
          </w:p>
        </w:tc>
        <w:tc>
          <w:tcPr>
            <w:tcW w:w="3180" w:type="dxa"/>
            <w:tcMar>
              <w:top w:w="0" w:type="dxa"/>
              <w:bottom w:w="0" w:type="dxa"/>
            </w:tcMar>
            <w:vAlign w:val="center"/>
          </w:tcPr>
          <w:p w14:paraId="44B99911" w14:textId="77777777" w:rsidR="00CD07B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F3205BC" w14:textId="77777777" w:rsidR="00CD07BC" w:rsidRDefault="00000000">
            <w:pPr>
              <w:keepNext/>
              <w:keepLines/>
              <w:spacing w:after="0" w:line="240" w:lineRule="auto"/>
            </w:pPr>
            <w:r>
              <w:rPr>
                <w:sz w:val="18"/>
              </w:rPr>
              <w:t>3</w:t>
            </w:r>
          </w:p>
        </w:tc>
        <w:tc>
          <w:tcPr>
            <w:tcW w:w="1860" w:type="dxa"/>
            <w:tcMar>
              <w:top w:w="0" w:type="dxa"/>
              <w:bottom w:w="0" w:type="dxa"/>
            </w:tcMar>
            <w:vAlign w:val="center"/>
          </w:tcPr>
          <w:p w14:paraId="5D12B318" w14:textId="77777777" w:rsidR="00CD07BC" w:rsidRDefault="00000000">
            <w:pPr>
              <w:keepNext/>
              <w:keepLines/>
              <w:spacing w:after="0" w:line="240" w:lineRule="auto"/>
              <w:jc w:val="right"/>
            </w:pPr>
            <w:r>
              <w:rPr>
                <w:sz w:val="18"/>
              </w:rPr>
              <w:t>706.121,35</w:t>
            </w:r>
          </w:p>
        </w:tc>
        <w:tc>
          <w:tcPr>
            <w:tcW w:w="1860" w:type="dxa"/>
            <w:tcMar>
              <w:top w:w="0" w:type="dxa"/>
              <w:bottom w:w="0" w:type="dxa"/>
            </w:tcMar>
            <w:vAlign w:val="center"/>
          </w:tcPr>
          <w:p w14:paraId="316D8998" w14:textId="77777777" w:rsidR="00CD07BC" w:rsidRDefault="00000000">
            <w:pPr>
              <w:keepNext/>
              <w:keepLines/>
              <w:spacing w:after="0" w:line="240" w:lineRule="auto"/>
              <w:jc w:val="right"/>
            </w:pPr>
            <w:r>
              <w:rPr>
                <w:sz w:val="18"/>
              </w:rPr>
              <w:t>1.031.629,94</w:t>
            </w:r>
          </w:p>
        </w:tc>
        <w:tc>
          <w:tcPr>
            <w:tcW w:w="700" w:type="dxa"/>
            <w:tcMar>
              <w:top w:w="0" w:type="dxa"/>
              <w:bottom w:w="0" w:type="dxa"/>
            </w:tcMar>
            <w:vAlign w:val="center"/>
          </w:tcPr>
          <w:p w14:paraId="524458F2" w14:textId="77777777" w:rsidR="00CD07BC" w:rsidRDefault="00000000">
            <w:pPr>
              <w:keepNext/>
              <w:keepLines/>
              <w:spacing w:after="0" w:line="240" w:lineRule="auto"/>
              <w:jc w:val="right"/>
            </w:pPr>
            <w:r>
              <w:rPr>
                <w:sz w:val="18"/>
              </w:rPr>
              <w:t>146,1</w:t>
            </w:r>
          </w:p>
        </w:tc>
      </w:tr>
      <w:tr w:rsidR="00CD07BC" w14:paraId="7E17F691" w14:textId="77777777">
        <w:tblPrEx>
          <w:tblCellMar>
            <w:top w:w="0" w:type="dxa"/>
            <w:bottom w:w="0" w:type="dxa"/>
          </w:tblCellMar>
        </w:tblPrEx>
        <w:trPr>
          <w:cantSplit/>
          <w:trHeight w:val="560"/>
        </w:trPr>
        <w:tc>
          <w:tcPr>
            <w:tcW w:w="700" w:type="dxa"/>
            <w:tcMar>
              <w:top w:w="0" w:type="dxa"/>
              <w:bottom w:w="0" w:type="dxa"/>
            </w:tcMar>
            <w:vAlign w:val="center"/>
          </w:tcPr>
          <w:p w14:paraId="7AF05EC8" w14:textId="77777777" w:rsidR="00CD07BC" w:rsidRDefault="00CD07BC">
            <w:pPr>
              <w:keepNext/>
              <w:keepLines/>
              <w:spacing w:after="0" w:line="240" w:lineRule="auto"/>
            </w:pPr>
          </w:p>
        </w:tc>
        <w:tc>
          <w:tcPr>
            <w:tcW w:w="3180" w:type="dxa"/>
            <w:tcMar>
              <w:top w:w="0" w:type="dxa"/>
              <w:bottom w:w="0" w:type="dxa"/>
            </w:tcMar>
            <w:vAlign w:val="center"/>
          </w:tcPr>
          <w:p w14:paraId="72711E68" w14:textId="77777777" w:rsidR="00CD07B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8A87071" w14:textId="77777777" w:rsidR="00CD07BC" w:rsidRDefault="00000000">
            <w:pPr>
              <w:keepNext/>
              <w:keepLines/>
              <w:spacing w:after="0" w:line="240" w:lineRule="auto"/>
            </w:pPr>
            <w:r>
              <w:rPr>
                <w:b/>
                <w:sz w:val="18"/>
              </w:rPr>
              <w:t>X001</w:t>
            </w:r>
          </w:p>
        </w:tc>
        <w:tc>
          <w:tcPr>
            <w:tcW w:w="1860" w:type="dxa"/>
            <w:tcMar>
              <w:top w:w="0" w:type="dxa"/>
              <w:bottom w:w="0" w:type="dxa"/>
            </w:tcMar>
            <w:vAlign w:val="center"/>
          </w:tcPr>
          <w:p w14:paraId="70EE9835" w14:textId="77777777" w:rsidR="00CD07BC" w:rsidRDefault="00000000">
            <w:pPr>
              <w:keepNext/>
              <w:keepLines/>
              <w:spacing w:after="0" w:line="240" w:lineRule="auto"/>
              <w:jc w:val="right"/>
            </w:pPr>
            <w:r>
              <w:rPr>
                <w:b/>
                <w:sz w:val="18"/>
              </w:rPr>
              <w:t>1.080.897,36</w:t>
            </w:r>
          </w:p>
        </w:tc>
        <w:tc>
          <w:tcPr>
            <w:tcW w:w="1860" w:type="dxa"/>
            <w:tcMar>
              <w:top w:w="0" w:type="dxa"/>
              <w:bottom w:w="0" w:type="dxa"/>
            </w:tcMar>
            <w:vAlign w:val="center"/>
          </w:tcPr>
          <w:p w14:paraId="0C521E85" w14:textId="77777777" w:rsidR="00CD07BC" w:rsidRDefault="00000000">
            <w:pPr>
              <w:keepNext/>
              <w:keepLines/>
              <w:spacing w:after="0" w:line="240" w:lineRule="auto"/>
              <w:jc w:val="right"/>
            </w:pPr>
            <w:r>
              <w:rPr>
                <w:b/>
                <w:sz w:val="18"/>
              </w:rPr>
              <w:t>768.038,74</w:t>
            </w:r>
          </w:p>
        </w:tc>
        <w:tc>
          <w:tcPr>
            <w:tcW w:w="700" w:type="dxa"/>
            <w:tcMar>
              <w:top w:w="0" w:type="dxa"/>
              <w:bottom w:w="0" w:type="dxa"/>
            </w:tcMar>
            <w:vAlign w:val="center"/>
          </w:tcPr>
          <w:p w14:paraId="45699222" w14:textId="77777777" w:rsidR="00CD07BC" w:rsidRDefault="00000000">
            <w:pPr>
              <w:keepNext/>
              <w:keepLines/>
              <w:spacing w:after="0" w:line="240" w:lineRule="auto"/>
              <w:jc w:val="right"/>
            </w:pPr>
            <w:r>
              <w:rPr>
                <w:b/>
                <w:sz w:val="18"/>
              </w:rPr>
              <w:t>71,1</w:t>
            </w:r>
          </w:p>
        </w:tc>
      </w:tr>
      <w:tr w:rsidR="00CD07BC" w14:paraId="5BAD4D56" w14:textId="77777777">
        <w:tblPrEx>
          <w:tblCellMar>
            <w:top w:w="0" w:type="dxa"/>
            <w:bottom w:w="0" w:type="dxa"/>
          </w:tblCellMar>
        </w:tblPrEx>
        <w:trPr>
          <w:cantSplit/>
          <w:trHeight w:val="560"/>
        </w:trPr>
        <w:tc>
          <w:tcPr>
            <w:tcW w:w="700" w:type="dxa"/>
            <w:tcMar>
              <w:top w:w="0" w:type="dxa"/>
              <w:bottom w:w="0" w:type="dxa"/>
            </w:tcMar>
            <w:vAlign w:val="center"/>
          </w:tcPr>
          <w:p w14:paraId="785B1F2B" w14:textId="77777777" w:rsidR="00CD07BC" w:rsidRDefault="00000000">
            <w:pPr>
              <w:keepNext/>
              <w:keepLines/>
              <w:spacing w:after="0" w:line="240" w:lineRule="auto"/>
            </w:pPr>
            <w:r>
              <w:rPr>
                <w:sz w:val="18"/>
              </w:rPr>
              <w:t>7</w:t>
            </w:r>
          </w:p>
        </w:tc>
        <w:tc>
          <w:tcPr>
            <w:tcW w:w="3180" w:type="dxa"/>
            <w:tcMar>
              <w:top w:w="0" w:type="dxa"/>
              <w:bottom w:w="0" w:type="dxa"/>
            </w:tcMar>
            <w:vAlign w:val="center"/>
          </w:tcPr>
          <w:p w14:paraId="5AC7B69F" w14:textId="77777777" w:rsidR="00CD07B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AB5D14C" w14:textId="77777777" w:rsidR="00CD07BC" w:rsidRDefault="00000000">
            <w:pPr>
              <w:keepNext/>
              <w:keepLines/>
              <w:spacing w:after="0" w:line="240" w:lineRule="auto"/>
            </w:pPr>
            <w:r>
              <w:rPr>
                <w:sz w:val="18"/>
              </w:rPr>
              <w:t>7</w:t>
            </w:r>
          </w:p>
        </w:tc>
        <w:tc>
          <w:tcPr>
            <w:tcW w:w="1860" w:type="dxa"/>
            <w:tcMar>
              <w:top w:w="0" w:type="dxa"/>
              <w:bottom w:w="0" w:type="dxa"/>
            </w:tcMar>
            <w:vAlign w:val="center"/>
          </w:tcPr>
          <w:p w14:paraId="6C2B1AC9" w14:textId="77777777" w:rsidR="00CD07BC" w:rsidRDefault="00000000">
            <w:pPr>
              <w:keepNext/>
              <w:keepLines/>
              <w:spacing w:after="0" w:line="240" w:lineRule="auto"/>
              <w:jc w:val="right"/>
            </w:pPr>
            <w:r>
              <w:rPr>
                <w:sz w:val="18"/>
              </w:rPr>
              <w:t>0,00</w:t>
            </w:r>
          </w:p>
        </w:tc>
        <w:tc>
          <w:tcPr>
            <w:tcW w:w="1860" w:type="dxa"/>
            <w:tcMar>
              <w:top w:w="0" w:type="dxa"/>
              <w:bottom w:w="0" w:type="dxa"/>
            </w:tcMar>
            <w:vAlign w:val="center"/>
          </w:tcPr>
          <w:p w14:paraId="4CAF8A7A" w14:textId="77777777" w:rsidR="00CD07BC" w:rsidRDefault="00000000">
            <w:pPr>
              <w:keepNext/>
              <w:keepLines/>
              <w:spacing w:after="0" w:line="240" w:lineRule="auto"/>
              <w:jc w:val="right"/>
            </w:pPr>
            <w:r>
              <w:rPr>
                <w:sz w:val="18"/>
              </w:rPr>
              <w:t>157.546,15</w:t>
            </w:r>
          </w:p>
        </w:tc>
        <w:tc>
          <w:tcPr>
            <w:tcW w:w="700" w:type="dxa"/>
            <w:tcMar>
              <w:top w:w="0" w:type="dxa"/>
              <w:bottom w:w="0" w:type="dxa"/>
            </w:tcMar>
            <w:vAlign w:val="center"/>
          </w:tcPr>
          <w:p w14:paraId="05605519" w14:textId="77777777" w:rsidR="00CD07BC" w:rsidRDefault="00000000">
            <w:pPr>
              <w:keepNext/>
              <w:keepLines/>
              <w:spacing w:after="0" w:line="240" w:lineRule="auto"/>
              <w:jc w:val="right"/>
            </w:pPr>
            <w:r>
              <w:rPr>
                <w:sz w:val="18"/>
              </w:rPr>
              <w:t>-</w:t>
            </w:r>
          </w:p>
        </w:tc>
      </w:tr>
      <w:tr w:rsidR="00CD07BC" w14:paraId="345C1885" w14:textId="77777777">
        <w:tblPrEx>
          <w:tblCellMar>
            <w:top w:w="0" w:type="dxa"/>
            <w:bottom w:w="0" w:type="dxa"/>
          </w:tblCellMar>
        </w:tblPrEx>
        <w:trPr>
          <w:cantSplit/>
          <w:trHeight w:val="560"/>
        </w:trPr>
        <w:tc>
          <w:tcPr>
            <w:tcW w:w="700" w:type="dxa"/>
            <w:tcMar>
              <w:top w:w="0" w:type="dxa"/>
              <w:bottom w:w="0" w:type="dxa"/>
            </w:tcMar>
            <w:vAlign w:val="center"/>
          </w:tcPr>
          <w:p w14:paraId="227CD15B" w14:textId="77777777" w:rsidR="00CD07BC" w:rsidRDefault="00000000">
            <w:pPr>
              <w:keepNext/>
              <w:keepLines/>
              <w:spacing w:after="0" w:line="240" w:lineRule="auto"/>
            </w:pPr>
            <w:r>
              <w:rPr>
                <w:sz w:val="18"/>
              </w:rPr>
              <w:t>4</w:t>
            </w:r>
          </w:p>
        </w:tc>
        <w:tc>
          <w:tcPr>
            <w:tcW w:w="3180" w:type="dxa"/>
            <w:tcMar>
              <w:top w:w="0" w:type="dxa"/>
              <w:bottom w:w="0" w:type="dxa"/>
            </w:tcMar>
            <w:vAlign w:val="center"/>
          </w:tcPr>
          <w:p w14:paraId="2978663A" w14:textId="77777777" w:rsidR="00CD07B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AF69491" w14:textId="77777777" w:rsidR="00CD07BC" w:rsidRDefault="00000000">
            <w:pPr>
              <w:keepNext/>
              <w:keepLines/>
              <w:spacing w:after="0" w:line="240" w:lineRule="auto"/>
            </w:pPr>
            <w:r>
              <w:rPr>
                <w:sz w:val="18"/>
              </w:rPr>
              <w:t>4</w:t>
            </w:r>
          </w:p>
        </w:tc>
        <w:tc>
          <w:tcPr>
            <w:tcW w:w="1860" w:type="dxa"/>
            <w:tcMar>
              <w:top w:w="0" w:type="dxa"/>
              <w:bottom w:w="0" w:type="dxa"/>
            </w:tcMar>
            <w:vAlign w:val="center"/>
          </w:tcPr>
          <w:p w14:paraId="30AE3BD2" w14:textId="77777777" w:rsidR="00CD07BC" w:rsidRDefault="00000000">
            <w:pPr>
              <w:keepNext/>
              <w:keepLines/>
              <w:spacing w:after="0" w:line="240" w:lineRule="auto"/>
              <w:jc w:val="right"/>
            </w:pPr>
            <w:r>
              <w:rPr>
                <w:sz w:val="18"/>
              </w:rPr>
              <w:t>257.510,54</w:t>
            </w:r>
          </w:p>
        </w:tc>
        <w:tc>
          <w:tcPr>
            <w:tcW w:w="1860" w:type="dxa"/>
            <w:tcMar>
              <w:top w:w="0" w:type="dxa"/>
              <w:bottom w:w="0" w:type="dxa"/>
            </w:tcMar>
            <w:vAlign w:val="center"/>
          </w:tcPr>
          <w:p w14:paraId="2739A329" w14:textId="77777777" w:rsidR="00CD07BC" w:rsidRDefault="00000000">
            <w:pPr>
              <w:keepNext/>
              <w:keepLines/>
              <w:spacing w:after="0" w:line="240" w:lineRule="auto"/>
              <w:jc w:val="right"/>
            </w:pPr>
            <w:r>
              <w:rPr>
                <w:sz w:val="18"/>
              </w:rPr>
              <w:t>1.192.906,03</w:t>
            </w:r>
          </w:p>
        </w:tc>
        <w:tc>
          <w:tcPr>
            <w:tcW w:w="700" w:type="dxa"/>
            <w:tcMar>
              <w:top w:w="0" w:type="dxa"/>
              <w:bottom w:w="0" w:type="dxa"/>
            </w:tcMar>
            <w:vAlign w:val="center"/>
          </w:tcPr>
          <w:p w14:paraId="69351463" w14:textId="77777777" w:rsidR="00CD07BC" w:rsidRDefault="00000000">
            <w:pPr>
              <w:keepNext/>
              <w:keepLines/>
              <w:spacing w:after="0" w:line="240" w:lineRule="auto"/>
              <w:jc w:val="right"/>
            </w:pPr>
            <w:r>
              <w:rPr>
                <w:sz w:val="18"/>
              </w:rPr>
              <w:t>463,2</w:t>
            </w:r>
          </w:p>
        </w:tc>
      </w:tr>
      <w:tr w:rsidR="00CD07BC" w14:paraId="16B8BBB4" w14:textId="77777777">
        <w:tblPrEx>
          <w:tblCellMar>
            <w:top w:w="0" w:type="dxa"/>
            <w:bottom w:w="0" w:type="dxa"/>
          </w:tblCellMar>
        </w:tblPrEx>
        <w:trPr>
          <w:cantSplit/>
          <w:trHeight w:val="560"/>
        </w:trPr>
        <w:tc>
          <w:tcPr>
            <w:tcW w:w="700" w:type="dxa"/>
            <w:tcMar>
              <w:top w:w="0" w:type="dxa"/>
              <w:bottom w:w="0" w:type="dxa"/>
            </w:tcMar>
            <w:vAlign w:val="center"/>
          </w:tcPr>
          <w:p w14:paraId="4C257823" w14:textId="77777777" w:rsidR="00CD07BC" w:rsidRDefault="00CD07BC">
            <w:pPr>
              <w:keepNext/>
              <w:keepLines/>
              <w:spacing w:after="0" w:line="240" w:lineRule="auto"/>
            </w:pPr>
          </w:p>
        </w:tc>
        <w:tc>
          <w:tcPr>
            <w:tcW w:w="3180" w:type="dxa"/>
            <w:tcMar>
              <w:top w:w="0" w:type="dxa"/>
              <w:bottom w:w="0" w:type="dxa"/>
            </w:tcMar>
            <w:vAlign w:val="center"/>
          </w:tcPr>
          <w:p w14:paraId="547EBE0A" w14:textId="77777777" w:rsidR="00CD07B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D4D71FB" w14:textId="77777777" w:rsidR="00CD07BC" w:rsidRDefault="00000000">
            <w:pPr>
              <w:keepNext/>
              <w:keepLines/>
              <w:spacing w:after="0" w:line="240" w:lineRule="auto"/>
            </w:pPr>
            <w:r>
              <w:rPr>
                <w:b/>
                <w:sz w:val="18"/>
              </w:rPr>
              <w:t>Y002</w:t>
            </w:r>
          </w:p>
        </w:tc>
        <w:tc>
          <w:tcPr>
            <w:tcW w:w="1860" w:type="dxa"/>
            <w:tcMar>
              <w:top w:w="0" w:type="dxa"/>
              <w:bottom w:w="0" w:type="dxa"/>
            </w:tcMar>
            <w:vAlign w:val="center"/>
          </w:tcPr>
          <w:p w14:paraId="3F1A76B0" w14:textId="77777777" w:rsidR="00CD07BC" w:rsidRDefault="00000000">
            <w:pPr>
              <w:keepNext/>
              <w:keepLines/>
              <w:spacing w:after="0" w:line="240" w:lineRule="auto"/>
              <w:jc w:val="right"/>
            </w:pPr>
            <w:r>
              <w:rPr>
                <w:b/>
                <w:sz w:val="18"/>
              </w:rPr>
              <w:t>257.510,54</w:t>
            </w:r>
          </w:p>
        </w:tc>
        <w:tc>
          <w:tcPr>
            <w:tcW w:w="1860" w:type="dxa"/>
            <w:tcMar>
              <w:top w:w="0" w:type="dxa"/>
              <w:bottom w:w="0" w:type="dxa"/>
            </w:tcMar>
            <w:vAlign w:val="center"/>
          </w:tcPr>
          <w:p w14:paraId="754802DE" w14:textId="77777777" w:rsidR="00CD07BC" w:rsidRDefault="00000000">
            <w:pPr>
              <w:keepNext/>
              <w:keepLines/>
              <w:spacing w:after="0" w:line="240" w:lineRule="auto"/>
              <w:jc w:val="right"/>
            </w:pPr>
            <w:r>
              <w:rPr>
                <w:b/>
                <w:sz w:val="18"/>
              </w:rPr>
              <w:t>1.035.359,88</w:t>
            </w:r>
          </w:p>
        </w:tc>
        <w:tc>
          <w:tcPr>
            <w:tcW w:w="700" w:type="dxa"/>
            <w:tcMar>
              <w:top w:w="0" w:type="dxa"/>
              <w:bottom w:w="0" w:type="dxa"/>
            </w:tcMar>
            <w:vAlign w:val="center"/>
          </w:tcPr>
          <w:p w14:paraId="66A3030B" w14:textId="77777777" w:rsidR="00CD07BC" w:rsidRDefault="00000000">
            <w:pPr>
              <w:keepNext/>
              <w:keepLines/>
              <w:spacing w:after="0" w:line="240" w:lineRule="auto"/>
              <w:jc w:val="right"/>
            </w:pPr>
            <w:r>
              <w:rPr>
                <w:b/>
                <w:sz w:val="18"/>
              </w:rPr>
              <w:t>402,1</w:t>
            </w:r>
          </w:p>
        </w:tc>
      </w:tr>
      <w:tr w:rsidR="00CD07BC" w14:paraId="20C0ED34" w14:textId="77777777">
        <w:tblPrEx>
          <w:tblCellMar>
            <w:top w:w="0" w:type="dxa"/>
            <w:bottom w:w="0" w:type="dxa"/>
          </w:tblCellMar>
        </w:tblPrEx>
        <w:trPr>
          <w:cantSplit/>
          <w:trHeight w:val="560"/>
        </w:trPr>
        <w:tc>
          <w:tcPr>
            <w:tcW w:w="700" w:type="dxa"/>
            <w:tcMar>
              <w:top w:w="0" w:type="dxa"/>
              <w:bottom w:w="0" w:type="dxa"/>
            </w:tcMar>
            <w:vAlign w:val="center"/>
          </w:tcPr>
          <w:p w14:paraId="4805A1C9" w14:textId="77777777" w:rsidR="00CD07BC" w:rsidRDefault="00000000">
            <w:pPr>
              <w:keepNext/>
              <w:keepLines/>
              <w:spacing w:after="0" w:line="240" w:lineRule="auto"/>
            </w:pPr>
            <w:r>
              <w:rPr>
                <w:sz w:val="18"/>
              </w:rPr>
              <w:t>8</w:t>
            </w:r>
          </w:p>
        </w:tc>
        <w:tc>
          <w:tcPr>
            <w:tcW w:w="3180" w:type="dxa"/>
            <w:tcMar>
              <w:top w:w="0" w:type="dxa"/>
              <w:bottom w:w="0" w:type="dxa"/>
            </w:tcMar>
            <w:vAlign w:val="center"/>
          </w:tcPr>
          <w:p w14:paraId="1B1C7B1B" w14:textId="77777777" w:rsidR="00CD07B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EAB818B" w14:textId="77777777" w:rsidR="00CD07BC" w:rsidRDefault="00000000">
            <w:pPr>
              <w:keepNext/>
              <w:keepLines/>
              <w:spacing w:after="0" w:line="240" w:lineRule="auto"/>
            </w:pPr>
            <w:r>
              <w:rPr>
                <w:sz w:val="18"/>
              </w:rPr>
              <w:t>8</w:t>
            </w:r>
          </w:p>
        </w:tc>
        <w:tc>
          <w:tcPr>
            <w:tcW w:w="1860" w:type="dxa"/>
            <w:tcMar>
              <w:top w:w="0" w:type="dxa"/>
              <w:bottom w:w="0" w:type="dxa"/>
            </w:tcMar>
            <w:vAlign w:val="center"/>
          </w:tcPr>
          <w:p w14:paraId="049576F5" w14:textId="77777777" w:rsidR="00CD07BC" w:rsidRDefault="00000000">
            <w:pPr>
              <w:keepNext/>
              <w:keepLines/>
              <w:spacing w:after="0" w:line="240" w:lineRule="auto"/>
              <w:jc w:val="right"/>
            </w:pPr>
            <w:r>
              <w:rPr>
                <w:sz w:val="18"/>
              </w:rPr>
              <w:t>665,17</w:t>
            </w:r>
          </w:p>
        </w:tc>
        <w:tc>
          <w:tcPr>
            <w:tcW w:w="1860" w:type="dxa"/>
            <w:tcMar>
              <w:top w:w="0" w:type="dxa"/>
              <w:bottom w:w="0" w:type="dxa"/>
            </w:tcMar>
            <w:vAlign w:val="center"/>
          </w:tcPr>
          <w:p w14:paraId="75015716" w14:textId="77777777" w:rsidR="00CD07BC" w:rsidRDefault="00000000">
            <w:pPr>
              <w:keepNext/>
              <w:keepLines/>
              <w:spacing w:after="0" w:line="240" w:lineRule="auto"/>
              <w:jc w:val="right"/>
            </w:pPr>
            <w:r>
              <w:rPr>
                <w:sz w:val="18"/>
              </w:rPr>
              <w:t>0,00</w:t>
            </w:r>
          </w:p>
        </w:tc>
        <w:tc>
          <w:tcPr>
            <w:tcW w:w="700" w:type="dxa"/>
            <w:tcMar>
              <w:top w:w="0" w:type="dxa"/>
              <w:bottom w:w="0" w:type="dxa"/>
            </w:tcMar>
            <w:vAlign w:val="center"/>
          </w:tcPr>
          <w:p w14:paraId="4F76EF23" w14:textId="77777777" w:rsidR="00CD07BC" w:rsidRDefault="00000000">
            <w:pPr>
              <w:keepNext/>
              <w:keepLines/>
              <w:spacing w:after="0" w:line="240" w:lineRule="auto"/>
              <w:jc w:val="right"/>
            </w:pPr>
            <w:r>
              <w:rPr>
                <w:sz w:val="18"/>
              </w:rPr>
              <w:t>0</w:t>
            </w:r>
          </w:p>
        </w:tc>
      </w:tr>
      <w:tr w:rsidR="00CD07BC" w14:paraId="1165CEC5" w14:textId="77777777">
        <w:tblPrEx>
          <w:tblCellMar>
            <w:top w:w="0" w:type="dxa"/>
            <w:bottom w:w="0" w:type="dxa"/>
          </w:tblCellMar>
        </w:tblPrEx>
        <w:trPr>
          <w:cantSplit/>
          <w:trHeight w:val="560"/>
        </w:trPr>
        <w:tc>
          <w:tcPr>
            <w:tcW w:w="700" w:type="dxa"/>
            <w:tcMar>
              <w:top w:w="0" w:type="dxa"/>
              <w:bottom w:w="0" w:type="dxa"/>
            </w:tcMar>
            <w:vAlign w:val="center"/>
          </w:tcPr>
          <w:p w14:paraId="2458B56A" w14:textId="77777777" w:rsidR="00CD07BC" w:rsidRDefault="00000000">
            <w:pPr>
              <w:keepNext/>
              <w:keepLines/>
              <w:spacing w:after="0" w:line="240" w:lineRule="auto"/>
            </w:pPr>
            <w:r>
              <w:rPr>
                <w:sz w:val="18"/>
              </w:rPr>
              <w:t>5</w:t>
            </w:r>
          </w:p>
        </w:tc>
        <w:tc>
          <w:tcPr>
            <w:tcW w:w="3180" w:type="dxa"/>
            <w:tcMar>
              <w:top w:w="0" w:type="dxa"/>
              <w:bottom w:w="0" w:type="dxa"/>
            </w:tcMar>
            <w:vAlign w:val="center"/>
          </w:tcPr>
          <w:p w14:paraId="7A346EF5" w14:textId="77777777" w:rsidR="00CD07B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891A9D6" w14:textId="77777777" w:rsidR="00CD07BC" w:rsidRDefault="00000000">
            <w:pPr>
              <w:keepNext/>
              <w:keepLines/>
              <w:spacing w:after="0" w:line="240" w:lineRule="auto"/>
            </w:pPr>
            <w:r>
              <w:rPr>
                <w:sz w:val="18"/>
              </w:rPr>
              <w:t>5</w:t>
            </w:r>
          </w:p>
        </w:tc>
        <w:tc>
          <w:tcPr>
            <w:tcW w:w="1860" w:type="dxa"/>
            <w:tcMar>
              <w:top w:w="0" w:type="dxa"/>
              <w:bottom w:w="0" w:type="dxa"/>
            </w:tcMar>
            <w:vAlign w:val="center"/>
          </w:tcPr>
          <w:p w14:paraId="172D41E6" w14:textId="77777777" w:rsidR="00CD07BC" w:rsidRDefault="00000000">
            <w:pPr>
              <w:keepNext/>
              <w:keepLines/>
              <w:spacing w:after="0" w:line="240" w:lineRule="auto"/>
              <w:jc w:val="right"/>
            </w:pPr>
            <w:r>
              <w:rPr>
                <w:sz w:val="18"/>
              </w:rPr>
              <w:t>0,00</w:t>
            </w:r>
          </w:p>
        </w:tc>
        <w:tc>
          <w:tcPr>
            <w:tcW w:w="1860" w:type="dxa"/>
            <w:tcMar>
              <w:top w:w="0" w:type="dxa"/>
              <w:bottom w:w="0" w:type="dxa"/>
            </w:tcMar>
            <w:vAlign w:val="center"/>
          </w:tcPr>
          <w:p w14:paraId="3E45CF26" w14:textId="77777777" w:rsidR="00CD07BC" w:rsidRDefault="00000000">
            <w:pPr>
              <w:keepNext/>
              <w:keepLines/>
              <w:spacing w:after="0" w:line="240" w:lineRule="auto"/>
              <w:jc w:val="right"/>
            </w:pPr>
            <w:r>
              <w:rPr>
                <w:sz w:val="18"/>
              </w:rPr>
              <w:t>0,00</w:t>
            </w:r>
          </w:p>
        </w:tc>
        <w:tc>
          <w:tcPr>
            <w:tcW w:w="700" w:type="dxa"/>
            <w:tcMar>
              <w:top w:w="0" w:type="dxa"/>
              <w:bottom w:w="0" w:type="dxa"/>
            </w:tcMar>
            <w:vAlign w:val="center"/>
          </w:tcPr>
          <w:p w14:paraId="1728C04C" w14:textId="77777777" w:rsidR="00CD07BC" w:rsidRDefault="00000000">
            <w:pPr>
              <w:keepNext/>
              <w:keepLines/>
              <w:spacing w:after="0" w:line="240" w:lineRule="auto"/>
              <w:jc w:val="right"/>
            </w:pPr>
            <w:r>
              <w:rPr>
                <w:sz w:val="18"/>
              </w:rPr>
              <w:t>-</w:t>
            </w:r>
          </w:p>
        </w:tc>
      </w:tr>
      <w:tr w:rsidR="00CD07BC" w14:paraId="39E1819E" w14:textId="77777777">
        <w:tblPrEx>
          <w:tblCellMar>
            <w:top w:w="0" w:type="dxa"/>
            <w:bottom w:w="0" w:type="dxa"/>
          </w:tblCellMar>
        </w:tblPrEx>
        <w:trPr>
          <w:cantSplit/>
          <w:trHeight w:val="560"/>
        </w:trPr>
        <w:tc>
          <w:tcPr>
            <w:tcW w:w="700" w:type="dxa"/>
            <w:tcMar>
              <w:top w:w="0" w:type="dxa"/>
              <w:bottom w:w="0" w:type="dxa"/>
            </w:tcMar>
            <w:vAlign w:val="center"/>
          </w:tcPr>
          <w:p w14:paraId="09BA2706" w14:textId="77777777" w:rsidR="00CD07BC" w:rsidRDefault="00CD07BC">
            <w:pPr>
              <w:keepNext/>
              <w:keepLines/>
              <w:spacing w:after="0" w:line="240" w:lineRule="auto"/>
            </w:pPr>
          </w:p>
        </w:tc>
        <w:tc>
          <w:tcPr>
            <w:tcW w:w="3180" w:type="dxa"/>
            <w:tcMar>
              <w:top w:w="0" w:type="dxa"/>
              <w:bottom w:w="0" w:type="dxa"/>
            </w:tcMar>
            <w:vAlign w:val="center"/>
          </w:tcPr>
          <w:p w14:paraId="4577C149" w14:textId="77777777" w:rsidR="00CD07B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E3ED886" w14:textId="77777777" w:rsidR="00CD07BC" w:rsidRDefault="00000000">
            <w:pPr>
              <w:keepNext/>
              <w:keepLines/>
              <w:spacing w:after="0" w:line="240" w:lineRule="auto"/>
            </w:pPr>
            <w:r>
              <w:rPr>
                <w:b/>
                <w:sz w:val="18"/>
              </w:rPr>
              <w:t>X003, Y003</w:t>
            </w:r>
          </w:p>
        </w:tc>
        <w:tc>
          <w:tcPr>
            <w:tcW w:w="1860" w:type="dxa"/>
            <w:tcMar>
              <w:top w:w="0" w:type="dxa"/>
              <w:bottom w:w="0" w:type="dxa"/>
            </w:tcMar>
            <w:vAlign w:val="center"/>
          </w:tcPr>
          <w:p w14:paraId="6C055FB3" w14:textId="77777777" w:rsidR="00CD07BC" w:rsidRDefault="00000000">
            <w:pPr>
              <w:keepNext/>
              <w:keepLines/>
              <w:spacing w:after="0" w:line="240" w:lineRule="auto"/>
              <w:jc w:val="right"/>
            </w:pPr>
            <w:r>
              <w:rPr>
                <w:b/>
                <w:sz w:val="18"/>
              </w:rPr>
              <w:t>0,00</w:t>
            </w:r>
          </w:p>
        </w:tc>
        <w:tc>
          <w:tcPr>
            <w:tcW w:w="1860" w:type="dxa"/>
            <w:tcMar>
              <w:top w:w="0" w:type="dxa"/>
              <w:bottom w:w="0" w:type="dxa"/>
            </w:tcMar>
            <w:vAlign w:val="center"/>
          </w:tcPr>
          <w:p w14:paraId="253539C2" w14:textId="77777777" w:rsidR="00CD07BC" w:rsidRDefault="00000000">
            <w:pPr>
              <w:keepNext/>
              <w:keepLines/>
              <w:spacing w:after="0" w:line="240" w:lineRule="auto"/>
              <w:jc w:val="right"/>
            </w:pPr>
            <w:r>
              <w:rPr>
                <w:b/>
                <w:sz w:val="18"/>
              </w:rPr>
              <w:t>0,00</w:t>
            </w:r>
          </w:p>
        </w:tc>
        <w:tc>
          <w:tcPr>
            <w:tcW w:w="700" w:type="dxa"/>
            <w:tcMar>
              <w:top w:w="0" w:type="dxa"/>
              <w:bottom w:w="0" w:type="dxa"/>
            </w:tcMar>
            <w:vAlign w:val="center"/>
          </w:tcPr>
          <w:p w14:paraId="05F59854" w14:textId="77777777" w:rsidR="00CD07BC" w:rsidRDefault="00000000">
            <w:pPr>
              <w:keepNext/>
              <w:keepLines/>
              <w:spacing w:after="0" w:line="240" w:lineRule="auto"/>
              <w:jc w:val="right"/>
            </w:pPr>
            <w:r>
              <w:rPr>
                <w:b/>
                <w:sz w:val="18"/>
              </w:rPr>
              <w:t>-</w:t>
            </w:r>
          </w:p>
        </w:tc>
      </w:tr>
      <w:tr w:rsidR="00CD07BC" w14:paraId="663ED8A0" w14:textId="77777777">
        <w:tblPrEx>
          <w:tblCellMar>
            <w:top w:w="0" w:type="dxa"/>
            <w:bottom w:w="0" w:type="dxa"/>
          </w:tblCellMar>
        </w:tblPrEx>
        <w:trPr>
          <w:cantSplit/>
          <w:trHeight w:val="560"/>
        </w:trPr>
        <w:tc>
          <w:tcPr>
            <w:tcW w:w="700" w:type="dxa"/>
            <w:tcMar>
              <w:top w:w="0" w:type="dxa"/>
              <w:bottom w:w="0" w:type="dxa"/>
            </w:tcMar>
            <w:vAlign w:val="center"/>
          </w:tcPr>
          <w:p w14:paraId="1B365F98" w14:textId="77777777" w:rsidR="00CD07BC" w:rsidRDefault="00CD07BC">
            <w:pPr>
              <w:keepNext/>
              <w:keepLines/>
              <w:spacing w:after="0" w:line="240" w:lineRule="auto"/>
            </w:pPr>
          </w:p>
        </w:tc>
        <w:tc>
          <w:tcPr>
            <w:tcW w:w="3180" w:type="dxa"/>
            <w:tcMar>
              <w:top w:w="0" w:type="dxa"/>
              <w:bottom w:w="0" w:type="dxa"/>
            </w:tcMar>
            <w:vAlign w:val="center"/>
          </w:tcPr>
          <w:p w14:paraId="0FFE11DA" w14:textId="77777777" w:rsidR="00CD07B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0FFA48D" w14:textId="77777777" w:rsidR="00CD07BC" w:rsidRDefault="00000000">
            <w:pPr>
              <w:keepNext/>
              <w:keepLines/>
              <w:spacing w:after="0" w:line="240" w:lineRule="auto"/>
            </w:pPr>
            <w:r>
              <w:rPr>
                <w:b/>
                <w:sz w:val="18"/>
              </w:rPr>
              <w:t>Y005</w:t>
            </w:r>
          </w:p>
        </w:tc>
        <w:tc>
          <w:tcPr>
            <w:tcW w:w="1860" w:type="dxa"/>
            <w:tcMar>
              <w:top w:w="0" w:type="dxa"/>
              <w:bottom w:w="0" w:type="dxa"/>
            </w:tcMar>
            <w:vAlign w:val="center"/>
          </w:tcPr>
          <w:p w14:paraId="0A586C39" w14:textId="77777777" w:rsidR="00CD07BC" w:rsidRDefault="00000000">
            <w:pPr>
              <w:keepNext/>
              <w:keepLines/>
              <w:spacing w:after="0" w:line="240" w:lineRule="auto"/>
              <w:jc w:val="right"/>
            </w:pPr>
            <w:r>
              <w:rPr>
                <w:b/>
                <w:sz w:val="18"/>
              </w:rPr>
              <w:t>0,00</w:t>
            </w:r>
          </w:p>
        </w:tc>
        <w:tc>
          <w:tcPr>
            <w:tcW w:w="1860" w:type="dxa"/>
            <w:tcMar>
              <w:top w:w="0" w:type="dxa"/>
              <w:bottom w:w="0" w:type="dxa"/>
            </w:tcMar>
            <w:vAlign w:val="center"/>
          </w:tcPr>
          <w:p w14:paraId="7D3C869E" w14:textId="77777777" w:rsidR="00CD07BC" w:rsidRDefault="00000000">
            <w:pPr>
              <w:keepNext/>
              <w:keepLines/>
              <w:spacing w:after="0" w:line="240" w:lineRule="auto"/>
              <w:jc w:val="right"/>
            </w:pPr>
            <w:r>
              <w:rPr>
                <w:b/>
                <w:sz w:val="18"/>
              </w:rPr>
              <w:t>267.321,14</w:t>
            </w:r>
          </w:p>
        </w:tc>
        <w:tc>
          <w:tcPr>
            <w:tcW w:w="700" w:type="dxa"/>
            <w:tcMar>
              <w:top w:w="0" w:type="dxa"/>
              <w:bottom w:w="0" w:type="dxa"/>
            </w:tcMar>
            <w:vAlign w:val="center"/>
          </w:tcPr>
          <w:p w14:paraId="16055948" w14:textId="77777777" w:rsidR="00CD07BC" w:rsidRDefault="00000000">
            <w:pPr>
              <w:keepNext/>
              <w:keepLines/>
              <w:spacing w:after="0" w:line="240" w:lineRule="auto"/>
              <w:jc w:val="right"/>
            </w:pPr>
            <w:r>
              <w:rPr>
                <w:b/>
                <w:sz w:val="18"/>
              </w:rPr>
              <w:t>-</w:t>
            </w:r>
          </w:p>
        </w:tc>
      </w:tr>
    </w:tbl>
    <w:p w14:paraId="1409582E" w14:textId="77777777" w:rsidR="00CD07BC" w:rsidRDefault="00CD07BC">
      <w:pPr>
        <w:spacing w:after="0"/>
      </w:pPr>
    </w:p>
    <w:p w14:paraId="45889F52" w14:textId="77777777" w:rsidR="00CD07BC" w:rsidRDefault="00000000">
      <w:r>
        <w:t>U razdoblju od 1. siječnja do 31. prosinca 2025. godine prihodi poslovanja ostvareni su u iznosu od 1.799.668,68 eura. Najznačajnije povećanje prihoda poslovanja ostvareno je od prihoda od imovine te prihoda od nefinancijske imovine. Najznačajnije smanjenje prihoda poslovanja bilježi se na prihodima od poreza na imovinu te prihoda od pomoći iz drugih proračuna.</w:t>
      </w:r>
    </w:p>
    <w:p w14:paraId="2554F8FD" w14:textId="77777777" w:rsidR="00CD07BC" w:rsidRDefault="00000000">
      <w:r>
        <w:lastRenderedPageBreak/>
        <w:t>Rashodi poslovanja u razdoblju od 1. siječnja do 31. prosinca 2025. godine ostvareni su u iznosu od 1.031.629,94 eura. Najznačajnije povećanje rashoda evidentirano je na rashodima za pomoći dane u inozemstvo i unutar općeg proračuna, a odnosi se prvenstveno na sufinanciranje učiteljice u produženom boravku u Osnovnoj školi ˝Kardinal Alojzije Stepinac˝ Krašić budući da navedeni rashod nismo imali u prijašnjim godinama.  Također, značajno su povećani i rashodi za donacije, a odnose se na tekuće i kapitalne donacije udrugama i neprofitnim organizacijama. Rashodi za kapitalne pomoći trgovačkim društvima u javnom sektoru odnose se na prijenos projektne dokumentacije za vodoopskrbu i odvodnju trgovačkom društvu Vodovod i kanalizacija d.o.o. Karlovac koji je uslijed spajanja preuzeo brigu o vodoopskrbi na području Općine Krašić.</w:t>
      </w:r>
    </w:p>
    <w:p w14:paraId="47E0C07A" w14:textId="77777777" w:rsidR="00CD07BC" w:rsidRDefault="00000000">
      <w:r>
        <w:t>Prihodi od prodaje nefinancijske imovine u razdoblju od 1. siječnja do 31. prosinca 2025. godine ostvareni su u iznosu od 157.546,15 eura, a odnose se na prihode od prodaje zemljišta i na spomenutu projektnu dokumentaciju koja je predana trgovačkom društvu, dok u istom izvještajnom razdoblju prethodne godine nije bilo ostvarenih prihoda od prodaje nefinancijske imovine.  </w:t>
      </w:r>
    </w:p>
    <w:p w14:paraId="1444D580" w14:textId="77777777" w:rsidR="00CD07BC" w:rsidRDefault="00000000">
      <w:r>
        <w:t xml:space="preserve">Rashodi za nabavu nefinancijske imovine u razdoblju od 1. siječnja do 31. prosinca 2025. godine ostvareni su u iznosu od 1.192.906,03 eura. Najznačajnije povećanje rashoda evidentirano je na rashodima za nabavu </w:t>
      </w:r>
      <w:proofErr w:type="spellStart"/>
      <w:r>
        <w:t>neproizvedene</w:t>
      </w:r>
      <w:proofErr w:type="spellEnd"/>
      <w:r>
        <w:t xml:space="preserve"> dugotrajne imovine, a odnose se na rashode za kupnju zemljišta. Zatim, rashodi za nabavu proizvedene dugotrajne imovine, što se u najvišem dijelu odnosi na troškove izgradnje dječjeg vrtića u Krašiću. </w:t>
      </w:r>
    </w:p>
    <w:p w14:paraId="2FBF466C" w14:textId="77777777" w:rsidR="00CD07BC" w:rsidRDefault="00000000">
      <w:r>
        <w:t>U navedenom razdoblju nije bilo  ostvarenih primitaka i izdataka od financijske imovine i zaduživanja.</w:t>
      </w:r>
    </w:p>
    <w:p w14:paraId="57FD7C8B" w14:textId="77777777" w:rsidR="00CD07BC" w:rsidRDefault="00000000">
      <w:r>
        <w:t>U razdoblju od 1. siječnja do 31. prosinca 2025. godine  ostvaren je višak prihoda poslovanja u iznosu od 768.038,74 eura, manjak prihoda od nefinancijske imovine u iznosu od 1.035.359,88 eura, slijedom čega je na kraju izvještajnog razdoblja ostvaren ukupni manjak prihoda i primitaka u iznosu od 267.321,14 eura.</w:t>
      </w:r>
    </w:p>
    <w:p w14:paraId="329FBC22" w14:textId="77777777" w:rsidR="00CD07BC" w:rsidRDefault="00000000">
      <w:r>
        <w:t> </w:t>
      </w:r>
    </w:p>
    <w:p w14:paraId="350143D0" w14:textId="77777777" w:rsidR="00CD07BC" w:rsidRDefault="00000000">
      <w:r>
        <w:t> </w:t>
      </w:r>
    </w:p>
    <w:p w14:paraId="0C9345C7" w14:textId="77777777" w:rsidR="00CD07BC" w:rsidRDefault="00000000">
      <w:r>
        <w:br/>
      </w:r>
    </w:p>
    <w:p w14:paraId="08E89426" w14:textId="77777777" w:rsidR="00CD07BC" w:rsidRDefault="00000000">
      <w:pPr>
        <w:keepNext/>
        <w:spacing w:line="240" w:lineRule="auto"/>
        <w:jc w:val="center"/>
      </w:pPr>
      <w:r>
        <w:rPr>
          <w:b/>
          <w:sz w:val="28"/>
        </w:rPr>
        <w:t>Bilanca</w:t>
      </w:r>
    </w:p>
    <w:p w14:paraId="5D8839C3" w14:textId="77777777" w:rsidR="00CD07B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385163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1CE460"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721E5A"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3369D"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530FA9" w14:textId="77777777" w:rsidR="00CD07B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8C8C15" w14:textId="77777777" w:rsidR="00CD07B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E6B243" w14:textId="77777777" w:rsidR="00CD07BC" w:rsidRDefault="00000000">
            <w:pPr>
              <w:keepNext/>
              <w:keepLines/>
              <w:spacing w:after="0" w:line="240" w:lineRule="auto"/>
              <w:jc w:val="center"/>
            </w:pPr>
            <w:r>
              <w:rPr>
                <w:b/>
                <w:sz w:val="18"/>
              </w:rPr>
              <w:t>Indeks (%)</w:t>
            </w:r>
          </w:p>
        </w:tc>
      </w:tr>
      <w:tr w:rsidR="00CD07BC" w14:paraId="1DAEAF67" w14:textId="77777777">
        <w:tblPrEx>
          <w:tblCellMar>
            <w:top w:w="0" w:type="dxa"/>
            <w:bottom w:w="0" w:type="dxa"/>
          </w:tblCellMar>
        </w:tblPrEx>
        <w:trPr>
          <w:cantSplit/>
          <w:trHeight w:val="560"/>
        </w:trPr>
        <w:tc>
          <w:tcPr>
            <w:tcW w:w="700" w:type="dxa"/>
            <w:tcMar>
              <w:top w:w="0" w:type="dxa"/>
              <w:bottom w:w="0" w:type="dxa"/>
            </w:tcMar>
            <w:vAlign w:val="center"/>
          </w:tcPr>
          <w:p w14:paraId="255F01BB" w14:textId="77777777" w:rsidR="00CD07BC" w:rsidRDefault="00CD07BC">
            <w:pPr>
              <w:keepNext/>
              <w:keepLines/>
              <w:spacing w:after="0" w:line="240" w:lineRule="auto"/>
            </w:pPr>
          </w:p>
        </w:tc>
        <w:tc>
          <w:tcPr>
            <w:tcW w:w="3180" w:type="dxa"/>
            <w:tcMar>
              <w:top w:w="0" w:type="dxa"/>
              <w:bottom w:w="0" w:type="dxa"/>
            </w:tcMar>
            <w:vAlign w:val="center"/>
          </w:tcPr>
          <w:p w14:paraId="48D2319C" w14:textId="77777777" w:rsidR="00CD07BC" w:rsidRDefault="00000000">
            <w:pPr>
              <w:keepNext/>
              <w:keepLines/>
              <w:spacing w:after="0" w:line="240" w:lineRule="auto"/>
            </w:pPr>
            <w:r>
              <w:rPr>
                <w:sz w:val="18"/>
              </w:rPr>
              <w:t>IMOVINA (šifre B002+1)</w:t>
            </w:r>
          </w:p>
        </w:tc>
        <w:tc>
          <w:tcPr>
            <w:tcW w:w="700" w:type="dxa"/>
            <w:tcMar>
              <w:top w:w="0" w:type="dxa"/>
              <w:bottom w:w="0" w:type="dxa"/>
            </w:tcMar>
            <w:vAlign w:val="center"/>
          </w:tcPr>
          <w:p w14:paraId="42C5FCDF" w14:textId="77777777" w:rsidR="00CD07BC" w:rsidRDefault="00000000">
            <w:pPr>
              <w:keepNext/>
              <w:keepLines/>
              <w:spacing w:after="0" w:line="240" w:lineRule="auto"/>
            </w:pPr>
            <w:r>
              <w:rPr>
                <w:sz w:val="18"/>
              </w:rPr>
              <w:t>B001</w:t>
            </w:r>
          </w:p>
        </w:tc>
        <w:tc>
          <w:tcPr>
            <w:tcW w:w="1860" w:type="dxa"/>
            <w:tcMar>
              <w:top w:w="0" w:type="dxa"/>
              <w:bottom w:w="0" w:type="dxa"/>
            </w:tcMar>
            <w:vAlign w:val="center"/>
          </w:tcPr>
          <w:p w14:paraId="4082D0A0" w14:textId="77777777" w:rsidR="00CD07BC" w:rsidRDefault="00000000">
            <w:pPr>
              <w:keepNext/>
              <w:keepLines/>
              <w:spacing w:after="0" w:line="240" w:lineRule="auto"/>
              <w:jc w:val="right"/>
            </w:pPr>
            <w:r>
              <w:rPr>
                <w:sz w:val="18"/>
              </w:rPr>
              <w:t>8.516.171,62</w:t>
            </w:r>
          </w:p>
        </w:tc>
        <w:tc>
          <w:tcPr>
            <w:tcW w:w="1860" w:type="dxa"/>
            <w:tcMar>
              <w:top w:w="0" w:type="dxa"/>
              <w:bottom w:w="0" w:type="dxa"/>
            </w:tcMar>
            <w:vAlign w:val="center"/>
          </w:tcPr>
          <w:p w14:paraId="758A6D41" w14:textId="77777777" w:rsidR="00CD07BC" w:rsidRDefault="00000000">
            <w:pPr>
              <w:keepNext/>
              <w:keepLines/>
              <w:spacing w:after="0" w:line="240" w:lineRule="auto"/>
              <w:jc w:val="right"/>
            </w:pPr>
            <w:r>
              <w:rPr>
                <w:sz w:val="18"/>
              </w:rPr>
              <w:t>9.519.784,51</w:t>
            </w:r>
          </w:p>
        </w:tc>
        <w:tc>
          <w:tcPr>
            <w:tcW w:w="700" w:type="dxa"/>
            <w:tcMar>
              <w:top w:w="0" w:type="dxa"/>
              <w:bottom w:w="0" w:type="dxa"/>
            </w:tcMar>
            <w:vAlign w:val="center"/>
          </w:tcPr>
          <w:p w14:paraId="5A8E3C5D" w14:textId="77777777" w:rsidR="00CD07BC" w:rsidRDefault="00000000">
            <w:pPr>
              <w:keepNext/>
              <w:keepLines/>
              <w:spacing w:after="0" w:line="240" w:lineRule="auto"/>
              <w:jc w:val="right"/>
            </w:pPr>
            <w:r>
              <w:rPr>
                <w:sz w:val="18"/>
              </w:rPr>
              <w:t>111,8</w:t>
            </w:r>
          </w:p>
        </w:tc>
      </w:tr>
    </w:tbl>
    <w:p w14:paraId="518BC04F" w14:textId="77777777" w:rsidR="00CD07BC" w:rsidRDefault="00CD07BC">
      <w:pPr>
        <w:spacing w:after="0"/>
      </w:pPr>
    </w:p>
    <w:p w14:paraId="795D71E2" w14:textId="77777777" w:rsidR="00CD07BC" w:rsidRDefault="00000000">
      <w:r>
        <w:lastRenderedPageBreak/>
        <w:t>Vrijednost aktive - ukupne imovine Općine (ŠIFRA B001) na dan 31. prosinca 2025. godine iznosi 9.519.784,51 euro i u odnosu na stanje imovine 1. siječnja 2025. godine, evidentno je povećanje općinske imovine za 11,8 % odnosno 1.003.612,89 eura . Udio nefinancijske imovine u ukupnoj aktivi iznosi 82,25 % dok financijska imovina u ukupnoj imovini Općine participira udjelom od 17,75 %.</w:t>
      </w:r>
    </w:p>
    <w:p w14:paraId="10E6ED7B" w14:textId="77777777" w:rsidR="00CD07BC" w:rsidRDefault="00000000">
      <w:r>
        <w:t> </w:t>
      </w:r>
    </w:p>
    <w:p w14:paraId="06313D43" w14:textId="77777777" w:rsidR="00CD07BC" w:rsidRDefault="00CD07BC"/>
    <w:p w14:paraId="2A07E1F2" w14:textId="77777777" w:rsidR="00CD07B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12A203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73DA02"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7F3113"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AA882"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F276B" w14:textId="77777777" w:rsidR="00CD07B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480372" w14:textId="77777777" w:rsidR="00CD07B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B90281" w14:textId="77777777" w:rsidR="00CD07BC" w:rsidRDefault="00000000">
            <w:pPr>
              <w:keepNext/>
              <w:keepLines/>
              <w:spacing w:after="0" w:line="240" w:lineRule="auto"/>
              <w:jc w:val="center"/>
            </w:pPr>
            <w:r>
              <w:rPr>
                <w:b/>
                <w:sz w:val="18"/>
              </w:rPr>
              <w:t>Indeks (%)</w:t>
            </w:r>
          </w:p>
        </w:tc>
      </w:tr>
      <w:tr w:rsidR="00CD07BC" w14:paraId="6C645826" w14:textId="77777777">
        <w:tblPrEx>
          <w:tblCellMar>
            <w:top w:w="0" w:type="dxa"/>
            <w:bottom w:w="0" w:type="dxa"/>
          </w:tblCellMar>
        </w:tblPrEx>
        <w:trPr>
          <w:cantSplit/>
          <w:trHeight w:val="560"/>
        </w:trPr>
        <w:tc>
          <w:tcPr>
            <w:tcW w:w="700" w:type="dxa"/>
            <w:tcMar>
              <w:top w:w="0" w:type="dxa"/>
              <w:bottom w:w="0" w:type="dxa"/>
            </w:tcMar>
            <w:vAlign w:val="center"/>
          </w:tcPr>
          <w:p w14:paraId="6C76C460" w14:textId="77777777" w:rsidR="00CD07BC" w:rsidRDefault="00000000">
            <w:pPr>
              <w:keepNext/>
              <w:keepLines/>
              <w:spacing w:after="0" w:line="240" w:lineRule="auto"/>
            </w:pPr>
            <w:r>
              <w:rPr>
                <w:sz w:val="18"/>
              </w:rPr>
              <w:t>2</w:t>
            </w:r>
          </w:p>
        </w:tc>
        <w:tc>
          <w:tcPr>
            <w:tcW w:w="3180" w:type="dxa"/>
            <w:tcMar>
              <w:top w:w="0" w:type="dxa"/>
              <w:bottom w:w="0" w:type="dxa"/>
            </w:tcMar>
            <w:vAlign w:val="center"/>
          </w:tcPr>
          <w:p w14:paraId="235878BC" w14:textId="77777777" w:rsidR="00CD07BC" w:rsidRDefault="00000000">
            <w:pPr>
              <w:keepNext/>
              <w:keepLines/>
              <w:spacing w:after="0" w:line="240" w:lineRule="auto"/>
            </w:pPr>
            <w:r>
              <w:rPr>
                <w:sz w:val="18"/>
              </w:rPr>
              <w:t>Obveze (šifre 23+24+25+26+27+29)</w:t>
            </w:r>
          </w:p>
        </w:tc>
        <w:tc>
          <w:tcPr>
            <w:tcW w:w="700" w:type="dxa"/>
            <w:tcMar>
              <w:top w:w="0" w:type="dxa"/>
              <w:bottom w:w="0" w:type="dxa"/>
            </w:tcMar>
            <w:vAlign w:val="center"/>
          </w:tcPr>
          <w:p w14:paraId="141C8078" w14:textId="77777777" w:rsidR="00CD07BC" w:rsidRDefault="00000000">
            <w:pPr>
              <w:keepNext/>
              <w:keepLines/>
              <w:spacing w:after="0" w:line="240" w:lineRule="auto"/>
            </w:pPr>
            <w:r>
              <w:rPr>
                <w:sz w:val="18"/>
              </w:rPr>
              <w:t>2</w:t>
            </w:r>
          </w:p>
        </w:tc>
        <w:tc>
          <w:tcPr>
            <w:tcW w:w="1860" w:type="dxa"/>
            <w:tcMar>
              <w:top w:w="0" w:type="dxa"/>
              <w:bottom w:w="0" w:type="dxa"/>
            </w:tcMar>
            <w:vAlign w:val="center"/>
          </w:tcPr>
          <w:p w14:paraId="2479299A" w14:textId="77777777" w:rsidR="00CD07BC" w:rsidRDefault="00000000">
            <w:pPr>
              <w:keepNext/>
              <w:keepLines/>
              <w:spacing w:after="0" w:line="240" w:lineRule="auto"/>
              <w:jc w:val="right"/>
            </w:pPr>
            <w:r>
              <w:rPr>
                <w:sz w:val="18"/>
              </w:rPr>
              <w:t>148.582,11</w:t>
            </w:r>
          </w:p>
        </w:tc>
        <w:tc>
          <w:tcPr>
            <w:tcW w:w="1860" w:type="dxa"/>
            <w:tcMar>
              <w:top w:w="0" w:type="dxa"/>
              <w:bottom w:w="0" w:type="dxa"/>
            </w:tcMar>
            <w:vAlign w:val="center"/>
          </w:tcPr>
          <w:p w14:paraId="573DC0A7" w14:textId="77777777" w:rsidR="00CD07BC" w:rsidRDefault="00000000">
            <w:pPr>
              <w:keepNext/>
              <w:keepLines/>
              <w:spacing w:after="0" w:line="240" w:lineRule="auto"/>
              <w:jc w:val="right"/>
            </w:pPr>
            <w:r>
              <w:rPr>
                <w:sz w:val="18"/>
              </w:rPr>
              <w:t>613.183,59</w:t>
            </w:r>
          </w:p>
        </w:tc>
        <w:tc>
          <w:tcPr>
            <w:tcW w:w="700" w:type="dxa"/>
            <w:tcMar>
              <w:top w:w="0" w:type="dxa"/>
              <w:bottom w:w="0" w:type="dxa"/>
            </w:tcMar>
            <w:vAlign w:val="center"/>
          </w:tcPr>
          <w:p w14:paraId="771499FC" w14:textId="77777777" w:rsidR="00CD07BC" w:rsidRDefault="00000000">
            <w:pPr>
              <w:keepNext/>
              <w:keepLines/>
              <w:spacing w:after="0" w:line="240" w:lineRule="auto"/>
              <w:jc w:val="right"/>
            </w:pPr>
            <w:r>
              <w:rPr>
                <w:sz w:val="18"/>
              </w:rPr>
              <w:t>412,7</w:t>
            </w:r>
          </w:p>
        </w:tc>
      </w:tr>
    </w:tbl>
    <w:p w14:paraId="60969088" w14:textId="77777777" w:rsidR="00CD07BC" w:rsidRDefault="00CD07BC">
      <w:pPr>
        <w:spacing w:after="0"/>
      </w:pPr>
    </w:p>
    <w:p w14:paraId="0B338C73" w14:textId="77777777" w:rsidR="00CD07BC" w:rsidRDefault="00000000">
      <w:r>
        <w:t>Obveze bilježe značajni rast prvenstveno zbog knjiženih privremenih situacija za izgradnju dječjeg vrtića u Krašiću, a kojima je valuta plaćanja u 2026. godini. </w:t>
      </w:r>
    </w:p>
    <w:p w14:paraId="539FBF7D" w14:textId="77777777" w:rsidR="00CD07BC" w:rsidRDefault="00CD07BC"/>
    <w:p w14:paraId="32820297" w14:textId="77777777" w:rsidR="00CD07B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70A882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AA2F13"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DCCC09"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C50D5"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05D3DE" w14:textId="77777777" w:rsidR="00CD07B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9DD959" w14:textId="77777777" w:rsidR="00CD07B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A7DBD1" w14:textId="77777777" w:rsidR="00CD07BC" w:rsidRDefault="00000000">
            <w:pPr>
              <w:keepNext/>
              <w:keepLines/>
              <w:spacing w:after="0" w:line="240" w:lineRule="auto"/>
              <w:jc w:val="center"/>
            </w:pPr>
            <w:r>
              <w:rPr>
                <w:b/>
                <w:sz w:val="18"/>
              </w:rPr>
              <w:t>Indeks (%)</w:t>
            </w:r>
          </w:p>
        </w:tc>
      </w:tr>
      <w:tr w:rsidR="00CD07BC" w14:paraId="427BA758" w14:textId="77777777">
        <w:tblPrEx>
          <w:tblCellMar>
            <w:top w:w="0" w:type="dxa"/>
            <w:bottom w:w="0" w:type="dxa"/>
          </w:tblCellMar>
        </w:tblPrEx>
        <w:trPr>
          <w:cantSplit/>
          <w:trHeight w:val="560"/>
        </w:trPr>
        <w:tc>
          <w:tcPr>
            <w:tcW w:w="700" w:type="dxa"/>
            <w:tcMar>
              <w:top w:w="0" w:type="dxa"/>
              <w:bottom w:w="0" w:type="dxa"/>
            </w:tcMar>
            <w:vAlign w:val="center"/>
          </w:tcPr>
          <w:p w14:paraId="0B91C4C7" w14:textId="77777777" w:rsidR="00CD07BC" w:rsidRDefault="00000000">
            <w:pPr>
              <w:keepNext/>
              <w:keepLines/>
              <w:spacing w:after="0" w:line="240" w:lineRule="auto"/>
            </w:pPr>
            <w:r>
              <w:rPr>
                <w:sz w:val="18"/>
              </w:rPr>
              <w:t>922</w:t>
            </w:r>
          </w:p>
        </w:tc>
        <w:tc>
          <w:tcPr>
            <w:tcW w:w="3180" w:type="dxa"/>
            <w:tcMar>
              <w:top w:w="0" w:type="dxa"/>
              <w:bottom w:w="0" w:type="dxa"/>
            </w:tcMar>
            <w:vAlign w:val="center"/>
          </w:tcPr>
          <w:p w14:paraId="7236C59B" w14:textId="77777777" w:rsidR="00CD07BC"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3A47B7CE" w14:textId="77777777" w:rsidR="00CD07BC" w:rsidRDefault="00000000">
            <w:pPr>
              <w:keepNext/>
              <w:keepLines/>
              <w:spacing w:after="0" w:line="240" w:lineRule="auto"/>
            </w:pPr>
            <w:r>
              <w:rPr>
                <w:sz w:val="18"/>
              </w:rPr>
              <w:t>922</w:t>
            </w:r>
          </w:p>
        </w:tc>
        <w:tc>
          <w:tcPr>
            <w:tcW w:w="1860" w:type="dxa"/>
            <w:tcMar>
              <w:top w:w="0" w:type="dxa"/>
              <w:bottom w:w="0" w:type="dxa"/>
            </w:tcMar>
            <w:vAlign w:val="center"/>
          </w:tcPr>
          <w:p w14:paraId="6C633446" w14:textId="77777777" w:rsidR="00CD07BC" w:rsidRDefault="00000000">
            <w:pPr>
              <w:keepNext/>
              <w:keepLines/>
              <w:spacing w:after="0" w:line="240" w:lineRule="auto"/>
              <w:jc w:val="right"/>
            </w:pPr>
            <w:r>
              <w:rPr>
                <w:sz w:val="18"/>
              </w:rPr>
              <w:t>1.266.931,70</w:t>
            </w:r>
          </w:p>
        </w:tc>
        <w:tc>
          <w:tcPr>
            <w:tcW w:w="1860" w:type="dxa"/>
            <w:tcMar>
              <w:top w:w="0" w:type="dxa"/>
              <w:bottom w:w="0" w:type="dxa"/>
            </w:tcMar>
            <w:vAlign w:val="center"/>
          </w:tcPr>
          <w:p w14:paraId="34D9447C" w14:textId="77777777" w:rsidR="00CD07BC" w:rsidRDefault="00000000">
            <w:pPr>
              <w:keepNext/>
              <w:keepLines/>
              <w:spacing w:after="0" w:line="240" w:lineRule="auto"/>
              <w:jc w:val="right"/>
            </w:pPr>
            <w:r>
              <w:rPr>
                <w:sz w:val="18"/>
              </w:rPr>
              <w:t>1.002.615,08</w:t>
            </w:r>
          </w:p>
        </w:tc>
        <w:tc>
          <w:tcPr>
            <w:tcW w:w="700" w:type="dxa"/>
            <w:tcMar>
              <w:top w:w="0" w:type="dxa"/>
              <w:bottom w:w="0" w:type="dxa"/>
            </w:tcMar>
            <w:vAlign w:val="center"/>
          </w:tcPr>
          <w:p w14:paraId="0E2527FC" w14:textId="77777777" w:rsidR="00CD07BC" w:rsidRDefault="00000000">
            <w:pPr>
              <w:keepNext/>
              <w:keepLines/>
              <w:spacing w:after="0" w:line="240" w:lineRule="auto"/>
              <w:jc w:val="right"/>
            </w:pPr>
            <w:r>
              <w:rPr>
                <w:sz w:val="18"/>
              </w:rPr>
              <w:t>79,1</w:t>
            </w:r>
          </w:p>
        </w:tc>
      </w:tr>
    </w:tbl>
    <w:p w14:paraId="1CCFA8AC" w14:textId="77777777" w:rsidR="00CD07BC" w:rsidRDefault="00CD07BC">
      <w:pPr>
        <w:spacing w:after="0"/>
      </w:pPr>
    </w:p>
    <w:p w14:paraId="65868FD2" w14:textId="77777777" w:rsidR="00CD07BC" w:rsidRDefault="00000000">
      <w:r>
        <w:t>U izvještajnom razdoblju ostvaren je manjak prihoda i primitaka u iznosu od 267.321,14 eura koji pribrojen sa viškom prihoda i primitaka iz prijašnjeg razdoblja u iznosu od 1.269.936,22 eura čini ukupni višak prihoda i primitaka raspoloživ u sljedećem razdoblju u iznosu od 1.002.615,08 eura.</w:t>
      </w:r>
    </w:p>
    <w:p w14:paraId="7648541C" w14:textId="77777777" w:rsidR="00CD07BC" w:rsidRDefault="00000000">
      <w:r>
        <w:t> </w:t>
      </w:r>
    </w:p>
    <w:p w14:paraId="4FCFBACB" w14:textId="77777777" w:rsidR="00CD07BC" w:rsidRDefault="00CD07BC"/>
    <w:p w14:paraId="6F3DEB10" w14:textId="77777777" w:rsidR="00CD07B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2D424C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6FC58A"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FA1B5F"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8D5FD"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3639E1" w14:textId="77777777" w:rsidR="00CD07B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5746F3" w14:textId="77777777" w:rsidR="00CD07B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49CCCA" w14:textId="77777777" w:rsidR="00CD07BC" w:rsidRDefault="00000000">
            <w:pPr>
              <w:keepNext/>
              <w:keepLines/>
              <w:spacing w:after="0" w:line="240" w:lineRule="auto"/>
              <w:jc w:val="center"/>
            </w:pPr>
            <w:r>
              <w:rPr>
                <w:b/>
                <w:sz w:val="18"/>
              </w:rPr>
              <w:t>Indeks (%)</w:t>
            </w:r>
          </w:p>
        </w:tc>
      </w:tr>
      <w:tr w:rsidR="00CD07BC" w14:paraId="08FC734C" w14:textId="77777777">
        <w:tblPrEx>
          <w:tblCellMar>
            <w:top w:w="0" w:type="dxa"/>
            <w:bottom w:w="0" w:type="dxa"/>
          </w:tblCellMar>
        </w:tblPrEx>
        <w:trPr>
          <w:cantSplit/>
          <w:trHeight w:val="560"/>
        </w:trPr>
        <w:tc>
          <w:tcPr>
            <w:tcW w:w="700" w:type="dxa"/>
            <w:tcMar>
              <w:top w:w="0" w:type="dxa"/>
              <w:bottom w:w="0" w:type="dxa"/>
            </w:tcMar>
            <w:vAlign w:val="center"/>
          </w:tcPr>
          <w:p w14:paraId="6381AD60" w14:textId="77777777" w:rsidR="00CD07BC" w:rsidRDefault="00000000">
            <w:pPr>
              <w:keepNext/>
              <w:keepLines/>
              <w:spacing w:after="0" w:line="240" w:lineRule="auto"/>
            </w:pPr>
            <w:r>
              <w:rPr>
                <w:sz w:val="18"/>
              </w:rPr>
              <w:t>99641</w:t>
            </w:r>
          </w:p>
        </w:tc>
        <w:tc>
          <w:tcPr>
            <w:tcW w:w="3180" w:type="dxa"/>
            <w:tcMar>
              <w:top w:w="0" w:type="dxa"/>
              <w:bottom w:w="0" w:type="dxa"/>
            </w:tcMar>
            <w:vAlign w:val="center"/>
          </w:tcPr>
          <w:p w14:paraId="00E51844" w14:textId="77777777" w:rsidR="00CD07BC"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6FE09AC1" w14:textId="77777777" w:rsidR="00CD07BC" w:rsidRDefault="00000000">
            <w:pPr>
              <w:keepNext/>
              <w:keepLines/>
              <w:spacing w:after="0" w:line="240" w:lineRule="auto"/>
            </w:pPr>
            <w:r>
              <w:rPr>
                <w:sz w:val="18"/>
              </w:rPr>
              <w:t>99641</w:t>
            </w:r>
          </w:p>
        </w:tc>
        <w:tc>
          <w:tcPr>
            <w:tcW w:w="1860" w:type="dxa"/>
            <w:tcMar>
              <w:top w:w="0" w:type="dxa"/>
              <w:bottom w:w="0" w:type="dxa"/>
            </w:tcMar>
            <w:vAlign w:val="center"/>
          </w:tcPr>
          <w:p w14:paraId="169DC4D8" w14:textId="77777777" w:rsidR="00CD07BC" w:rsidRDefault="00000000">
            <w:pPr>
              <w:keepNext/>
              <w:keepLines/>
              <w:spacing w:after="0" w:line="240" w:lineRule="auto"/>
              <w:jc w:val="right"/>
            </w:pPr>
            <w:r>
              <w:rPr>
                <w:sz w:val="18"/>
              </w:rPr>
              <w:t>412.000,00</w:t>
            </w:r>
          </w:p>
        </w:tc>
        <w:tc>
          <w:tcPr>
            <w:tcW w:w="1860" w:type="dxa"/>
            <w:tcMar>
              <w:top w:w="0" w:type="dxa"/>
              <w:bottom w:w="0" w:type="dxa"/>
            </w:tcMar>
            <w:vAlign w:val="center"/>
          </w:tcPr>
          <w:p w14:paraId="3D9552AF" w14:textId="77777777" w:rsidR="00CD07BC" w:rsidRDefault="00000000">
            <w:pPr>
              <w:keepNext/>
              <w:keepLines/>
              <w:spacing w:after="0" w:line="240" w:lineRule="auto"/>
              <w:jc w:val="right"/>
            </w:pPr>
            <w:r>
              <w:rPr>
                <w:sz w:val="18"/>
              </w:rPr>
              <w:t>896.717,80</w:t>
            </w:r>
          </w:p>
        </w:tc>
        <w:tc>
          <w:tcPr>
            <w:tcW w:w="700" w:type="dxa"/>
            <w:tcMar>
              <w:top w:w="0" w:type="dxa"/>
              <w:bottom w:w="0" w:type="dxa"/>
            </w:tcMar>
            <w:vAlign w:val="center"/>
          </w:tcPr>
          <w:p w14:paraId="2491D09A" w14:textId="77777777" w:rsidR="00CD07BC" w:rsidRDefault="00000000">
            <w:pPr>
              <w:keepNext/>
              <w:keepLines/>
              <w:spacing w:after="0" w:line="240" w:lineRule="auto"/>
              <w:jc w:val="right"/>
            </w:pPr>
            <w:r>
              <w:rPr>
                <w:sz w:val="18"/>
              </w:rPr>
              <w:t>217,6</w:t>
            </w:r>
          </w:p>
        </w:tc>
      </w:tr>
    </w:tbl>
    <w:p w14:paraId="57DFEBCC" w14:textId="77777777" w:rsidR="00CD07BC" w:rsidRDefault="00CD07BC">
      <w:pPr>
        <w:spacing w:after="0"/>
      </w:pPr>
    </w:p>
    <w:p w14:paraId="4465CBFF" w14:textId="77777777" w:rsidR="00CD07BC" w:rsidRDefault="00000000">
      <w:proofErr w:type="spellStart"/>
      <w:r>
        <w:t>Izvanbilančni</w:t>
      </w:r>
      <w:proofErr w:type="spellEnd"/>
      <w:r>
        <w:t xml:space="preserve"> zapisi sadrže stavke koje nisu uključene u bilančne kategorije: dana jamstva, tuđa imovina dobivena na korištenje, potencijalne obveze i potraživanja temeljem sudskih sporova i ostalih ugovornih odnosa i suglasnosti.</w:t>
      </w:r>
    </w:p>
    <w:p w14:paraId="104FDC24" w14:textId="77777777" w:rsidR="00CD07BC" w:rsidRDefault="00000000">
      <w:proofErr w:type="spellStart"/>
      <w:r>
        <w:lastRenderedPageBreak/>
        <w:t>Izvanbilančni</w:t>
      </w:r>
      <w:proofErr w:type="spellEnd"/>
      <w:r>
        <w:t xml:space="preserve"> zapisi sadrže vrijednosti poslovnih događaja koji u trenutku nastanka nemaju izravan utjecaj niti na jednu poziciju temeljnih financijskih izvještaja.</w:t>
      </w:r>
    </w:p>
    <w:p w14:paraId="62BD1722" w14:textId="77777777" w:rsidR="00CD07BC" w:rsidRDefault="00000000">
      <w:r>
        <w:t>Navedeni iznos odnosi se na zadužnice i bankovne garancije. </w:t>
      </w:r>
    </w:p>
    <w:p w14:paraId="0B2D6D30" w14:textId="77777777" w:rsidR="00CD07BC" w:rsidRDefault="00000000">
      <w:r>
        <w:t> </w:t>
      </w:r>
    </w:p>
    <w:p w14:paraId="68C28B40" w14:textId="77777777" w:rsidR="00CD07BC" w:rsidRDefault="00CD07BC"/>
    <w:p w14:paraId="0A64F4AA" w14:textId="77777777" w:rsidR="00CD07B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778B2C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0ACC23"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464543"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C006C"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08E3FD" w14:textId="77777777" w:rsidR="00CD07B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1F0F97" w14:textId="77777777" w:rsidR="00CD07B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A5F3EB" w14:textId="77777777" w:rsidR="00CD07BC" w:rsidRDefault="00000000">
            <w:pPr>
              <w:keepNext/>
              <w:keepLines/>
              <w:spacing w:after="0" w:line="240" w:lineRule="auto"/>
              <w:jc w:val="center"/>
            </w:pPr>
            <w:r>
              <w:rPr>
                <w:b/>
                <w:sz w:val="18"/>
              </w:rPr>
              <w:t>Indeks (%)</w:t>
            </w:r>
          </w:p>
        </w:tc>
      </w:tr>
      <w:tr w:rsidR="00CD07BC" w14:paraId="43F3F2AA" w14:textId="77777777">
        <w:tblPrEx>
          <w:tblCellMar>
            <w:top w:w="0" w:type="dxa"/>
            <w:bottom w:w="0" w:type="dxa"/>
          </w:tblCellMar>
        </w:tblPrEx>
        <w:trPr>
          <w:cantSplit/>
          <w:trHeight w:val="560"/>
        </w:trPr>
        <w:tc>
          <w:tcPr>
            <w:tcW w:w="700" w:type="dxa"/>
            <w:tcMar>
              <w:top w:w="0" w:type="dxa"/>
              <w:bottom w:w="0" w:type="dxa"/>
            </w:tcMar>
            <w:vAlign w:val="center"/>
          </w:tcPr>
          <w:p w14:paraId="313AEC8F" w14:textId="77777777" w:rsidR="00CD07BC" w:rsidRDefault="00000000">
            <w:pPr>
              <w:keepNext/>
              <w:keepLines/>
              <w:spacing w:after="0" w:line="240" w:lineRule="auto"/>
            </w:pPr>
            <w:r>
              <w:rPr>
                <w:sz w:val="18"/>
              </w:rPr>
              <w:t>99651</w:t>
            </w:r>
          </w:p>
        </w:tc>
        <w:tc>
          <w:tcPr>
            <w:tcW w:w="3180" w:type="dxa"/>
            <w:tcMar>
              <w:top w:w="0" w:type="dxa"/>
              <w:bottom w:w="0" w:type="dxa"/>
            </w:tcMar>
            <w:vAlign w:val="center"/>
          </w:tcPr>
          <w:p w14:paraId="3C91F0E8" w14:textId="77777777" w:rsidR="00CD07BC"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45D3CEA5" w14:textId="77777777" w:rsidR="00CD07BC" w:rsidRDefault="00000000">
            <w:pPr>
              <w:keepNext/>
              <w:keepLines/>
              <w:spacing w:after="0" w:line="240" w:lineRule="auto"/>
            </w:pPr>
            <w:r>
              <w:rPr>
                <w:sz w:val="18"/>
              </w:rPr>
              <w:t>99651</w:t>
            </w:r>
          </w:p>
        </w:tc>
        <w:tc>
          <w:tcPr>
            <w:tcW w:w="1860" w:type="dxa"/>
            <w:tcMar>
              <w:top w:w="0" w:type="dxa"/>
              <w:bottom w:w="0" w:type="dxa"/>
            </w:tcMar>
            <w:vAlign w:val="center"/>
          </w:tcPr>
          <w:p w14:paraId="69AB6C07" w14:textId="77777777" w:rsidR="00CD07BC" w:rsidRDefault="00000000">
            <w:pPr>
              <w:keepNext/>
              <w:keepLines/>
              <w:spacing w:after="0" w:line="240" w:lineRule="auto"/>
              <w:jc w:val="right"/>
            </w:pPr>
            <w:r>
              <w:rPr>
                <w:sz w:val="18"/>
              </w:rPr>
              <w:t>0,00</w:t>
            </w:r>
          </w:p>
        </w:tc>
        <w:tc>
          <w:tcPr>
            <w:tcW w:w="1860" w:type="dxa"/>
            <w:tcMar>
              <w:top w:w="0" w:type="dxa"/>
              <w:bottom w:w="0" w:type="dxa"/>
            </w:tcMar>
            <w:vAlign w:val="center"/>
          </w:tcPr>
          <w:p w14:paraId="705C2B72" w14:textId="77777777" w:rsidR="00CD07BC" w:rsidRDefault="00000000">
            <w:pPr>
              <w:keepNext/>
              <w:keepLines/>
              <w:spacing w:after="0" w:line="240" w:lineRule="auto"/>
              <w:jc w:val="right"/>
            </w:pPr>
            <w:r>
              <w:rPr>
                <w:sz w:val="18"/>
              </w:rPr>
              <w:t>426,35</w:t>
            </w:r>
          </w:p>
        </w:tc>
        <w:tc>
          <w:tcPr>
            <w:tcW w:w="700" w:type="dxa"/>
            <w:tcMar>
              <w:top w:w="0" w:type="dxa"/>
              <w:bottom w:w="0" w:type="dxa"/>
            </w:tcMar>
            <w:vAlign w:val="center"/>
          </w:tcPr>
          <w:p w14:paraId="1AFBABA1" w14:textId="77777777" w:rsidR="00CD07BC" w:rsidRDefault="00000000">
            <w:pPr>
              <w:keepNext/>
              <w:keepLines/>
              <w:spacing w:after="0" w:line="240" w:lineRule="auto"/>
              <w:jc w:val="right"/>
            </w:pPr>
            <w:r>
              <w:rPr>
                <w:sz w:val="18"/>
              </w:rPr>
              <w:t>-</w:t>
            </w:r>
          </w:p>
        </w:tc>
      </w:tr>
    </w:tbl>
    <w:p w14:paraId="00B13FEC" w14:textId="77777777" w:rsidR="00CD07BC" w:rsidRDefault="00CD07BC">
      <w:pPr>
        <w:spacing w:after="0"/>
      </w:pPr>
    </w:p>
    <w:p w14:paraId="2AEE043F" w14:textId="77777777" w:rsidR="00CD07BC" w:rsidRDefault="00000000">
      <w:r>
        <w:t xml:space="preserve">Bilješke uz financijske izvještaje, sukladno Pravilniku o financijskom izvještavanju u proračunskom računovodstvu, sadrže obvezne bilješke – Pregled ostalih ugovornih odnosa i slično koji uz ispunjenje određenih uvjeta, mogu postati obveza ili imovina (dana kreditna pisma, hipoteke, sporovi na sudu koji su u tijeku i slično). </w:t>
      </w:r>
      <w:proofErr w:type="spellStart"/>
      <w:r>
        <w:t>Navedni</w:t>
      </w:r>
      <w:proofErr w:type="spellEnd"/>
      <w:r>
        <w:t xml:space="preserve"> iznos odnosi se na potencijalnu obvezu koja bi mogla nastati po osnovi sudskog spora u tijeku, a vezan je uz tužbu prema općini radi štete nastale na osobnom automobilu fizičke osobe uslijed naleta na potrgani stup javne rasvjete. </w:t>
      </w:r>
    </w:p>
    <w:p w14:paraId="0825B19E" w14:textId="77777777" w:rsidR="00CD07BC" w:rsidRDefault="00000000">
      <w:r>
        <w:t> </w:t>
      </w:r>
    </w:p>
    <w:p w14:paraId="291BB961" w14:textId="77777777" w:rsidR="00CD07BC" w:rsidRDefault="00CD07BC"/>
    <w:p w14:paraId="27A37832" w14:textId="77777777" w:rsidR="00CD07B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3CB1E6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46EFF7"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70B819"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5385AC"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3C1B95" w14:textId="77777777" w:rsidR="00CD07B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FB05F6" w14:textId="77777777" w:rsidR="00CD07B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207840" w14:textId="77777777" w:rsidR="00CD07BC" w:rsidRDefault="00000000">
            <w:pPr>
              <w:keepNext/>
              <w:keepLines/>
              <w:spacing w:after="0" w:line="240" w:lineRule="auto"/>
              <w:jc w:val="center"/>
            </w:pPr>
            <w:r>
              <w:rPr>
                <w:b/>
                <w:sz w:val="18"/>
              </w:rPr>
              <w:t>Indeks (%)</w:t>
            </w:r>
          </w:p>
        </w:tc>
      </w:tr>
      <w:tr w:rsidR="00CD07BC" w14:paraId="098EF2D3" w14:textId="77777777">
        <w:tblPrEx>
          <w:tblCellMar>
            <w:top w:w="0" w:type="dxa"/>
            <w:bottom w:w="0" w:type="dxa"/>
          </w:tblCellMar>
        </w:tblPrEx>
        <w:trPr>
          <w:cantSplit/>
          <w:trHeight w:val="560"/>
        </w:trPr>
        <w:tc>
          <w:tcPr>
            <w:tcW w:w="700" w:type="dxa"/>
            <w:tcMar>
              <w:top w:w="0" w:type="dxa"/>
              <w:bottom w:w="0" w:type="dxa"/>
            </w:tcMar>
            <w:vAlign w:val="center"/>
          </w:tcPr>
          <w:p w14:paraId="0FE384C7" w14:textId="77777777" w:rsidR="00CD07BC" w:rsidRDefault="00000000">
            <w:pPr>
              <w:keepNext/>
              <w:keepLines/>
              <w:spacing w:after="0" w:line="240" w:lineRule="auto"/>
            </w:pPr>
            <w:r>
              <w:rPr>
                <w:sz w:val="18"/>
              </w:rPr>
              <w:t>99652</w:t>
            </w:r>
          </w:p>
        </w:tc>
        <w:tc>
          <w:tcPr>
            <w:tcW w:w="3180" w:type="dxa"/>
            <w:tcMar>
              <w:top w:w="0" w:type="dxa"/>
              <w:bottom w:w="0" w:type="dxa"/>
            </w:tcMar>
            <w:vAlign w:val="center"/>
          </w:tcPr>
          <w:p w14:paraId="26699173" w14:textId="77777777" w:rsidR="00CD07BC"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3AFDA35F" w14:textId="77777777" w:rsidR="00CD07BC" w:rsidRDefault="00000000">
            <w:pPr>
              <w:keepNext/>
              <w:keepLines/>
              <w:spacing w:after="0" w:line="240" w:lineRule="auto"/>
            </w:pPr>
            <w:r>
              <w:rPr>
                <w:sz w:val="18"/>
              </w:rPr>
              <w:t>99652</w:t>
            </w:r>
          </w:p>
        </w:tc>
        <w:tc>
          <w:tcPr>
            <w:tcW w:w="1860" w:type="dxa"/>
            <w:tcMar>
              <w:top w:w="0" w:type="dxa"/>
              <w:bottom w:w="0" w:type="dxa"/>
            </w:tcMar>
            <w:vAlign w:val="center"/>
          </w:tcPr>
          <w:p w14:paraId="2F714F00" w14:textId="77777777" w:rsidR="00CD07BC" w:rsidRDefault="00000000">
            <w:pPr>
              <w:keepNext/>
              <w:keepLines/>
              <w:spacing w:after="0" w:line="240" w:lineRule="auto"/>
              <w:jc w:val="right"/>
            </w:pPr>
            <w:r>
              <w:rPr>
                <w:sz w:val="18"/>
              </w:rPr>
              <w:t>0,00</w:t>
            </w:r>
          </w:p>
        </w:tc>
        <w:tc>
          <w:tcPr>
            <w:tcW w:w="1860" w:type="dxa"/>
            <w:tcMar>
              <w:top w:w="0" w:type="dxa"/>
              <w:bottom w:w="0" w:type="dxa"/>
            </w:tcMar>
            <w:vAlign w:val="center"/>
          </w:tcPr>
          <w:p w14:paraId="28F08486" w14:textId="77777777" w:rsidR="00CD07BC" w:rsidRDefault="00000000">
            <w:pPr>
              <w:keepNext/>
              <w:keepLines/>
              <w:spacing w:after="0" w:line="240" w:lineRule="auto"/>
              <w:jc w:val="right"/>
            </w:pPr>
            <w:r>
              <w:rPr>
                <w:sz w:val="18"/>
              </w:rPr>
              <w:t>3.090.391,84</w:t>
            </w:r>
          </w:p>
        </w:tc>
        <w:tc>
          <w:tcPr>
            <w:tcW w:w="700" w:type="dxa"/>
            <w:tcMar>
              <w:top w:w="0" w:type="dxa"/>
              <w:bottom w:w="0" w:type="dxa"/>
            </w:tcMar>
            <w:vAlign w:val="center"/>
          </w:tcPr>
          <w:p w14:paraId="2E18D422" w14:textId="77777777" w:rsidR="00CD07BC" w:rsidRDefault="00000000">
            <w:pPr>
              <w:keepNext/>
              <w:keepLines/>
              <w:spacing w:after="0" w:line="240" w:lineRule="auto"/>
              <w:jc w:val="right"/>
            </w:pPr>
            <w:r>
              <w:rPr>
                <w:sz w:val="18"/>
              </w:rPr>
              <w:t>-</w:t>
            </w:r>
          </w:p>
        </w:tc>
      </w:tr>
    </w:tbl>
    <w:p w14:paraId="4C062D4B" w14:textId="77777777" w:rsidR="00CD07BC" w:rsidRDefault="00CD07BC">
      <w:pPr>
        <w:spacing w:after="0"/>
      </w:pPr>
    </w:p>
    <w:p w14:paraId="24046945" w14:textId="77777777" w:rsidR="00CD07BC" w:rsidRDefault="00000000">
      <w:r>
        <w:t xml:space="preserve">Ovaj iznos za preuzete obveze po ugovorima o nabavi roba, radova i usluga najvećim se dijelom odnose na ugovore sklopljene sa izvođačem radova na izgradnji dječjeg vrtića, </w:t>
      </w:r>
      <w:proofErr w:type="spellStart"/>
      <w:r>
        <w:t>stučnim</w:t>
      </w:r>
      <w:proofErr w:type="spellEnd"/>
      <w:r>
        <w:t xml:space="preserve"> i projektantskim nadzorom nad izgradnjom dječjeg vrtića te koordinatorom zaštite na radu u tijeku izvođenja radova na izgradnji dječjeg vrtića. Ugovori su sklopljeni u 2025. godini, radovi su u tijeku, te je predviđen završetak radova u drugoj polovici 2026. godine. </w:t>
      </w:r>
    </w:p>
    <w:p w14:paraId="5847396E" w14:textId="77777777" w:rsidR="00CD07BC" w:rsidRDefault="00CD07BC"/>
    <w:p w14:paraId="3F732819" w14:textId="77777777" w:rsidR="00CD07B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714E57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D61994"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A01C15"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218E4"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618C56" w14:textId="77777777" w:rsidR="00CD07B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51B136" w14:textId="77777777" w:rsidR="00CD07B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08310B" w14:textId="77777777" w:rsidR="00CD07BC" w:rsidRDefault="00000000">
            <w:pPr>
              <w:keepNext/>
              <w:keepLines/>
              <w:spacing w:after="0" w:line="240" w:lineRule="auto"/>
              <w:jc w:val="center"/>
            </w:pPr>
            <w:r>
              <w:rPr>
                <w:b/>
                <w:sz w:val="18"/>
              </w:rPr>
              <w:t>Indeks (%)</w:t>
            </w:r>
          </w:p>
        </w:tc>
      </w:tr>
      <w:tr w:rsidR="00CD07BC" w14:paraId="240A3C7E" w14:textId="77777777">
        <w:tblPrEx>
          <w:tblCellMar>
            <w:top w:w="0" w:type="dxa"/>
            <w:bottom w:w="0" w:type="dxa"/>
          </w:tblCellMar>
        </w:tblPrEx>
        <w:trPr>
          <w:cantSplit/>
          <w:trHeight w:val="560"/>
        </w:trPr>
        <w:tc>
          <w:tcPr>
            <w:tcW w:w="700" w:type="dxa"/>
            <w:tcMar>
              <w:top w:w="0" w:type="dxa"/>
              <w:bottom w:w="0" w:type="dxa"/>
            </w:tcMar>
            <w:vAlign w:val="center"/>
          </w:tcPr>
          <w:p w14:paraId="6578ED4E" w14:textId="77777777" w:rsidR="00CD07BC" w:rsidRDefault="00000000">
            <w:pPr>
              <w:keepNext/>
              <w:keepLines/>
              <w:spacing w:after="0" w:line="240" w:lineRule="auto"/>
            </w:pPr>
            <w:r>
              <w:rPr>
                <w:sz w:val="18"/>
              </w:rPr>
              <w:t>99691</w:t>
            </w:r>
          </w:p>
        </w:tc>
        <w:tc>
          <w:tcPr>
            <w:tcW w:w="3180" w:type="dxa"/>
            <w:tcMar>
              <w:top w:w="0" w:type="dxa"/>
              <w:bottom w:w="0" w:type="dxa"/>
            </w:tcMar>
            <w:vAlign w:val="center"/>
          </w:tcPr>
          <w:p w14:paraId="6B34C7BD" w14:textId="77777777" w:rsidR="00CD07BC" w:rsidRDefault="00000000">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14:paraId="62DF87E8" w14:textId="77777777" w:rsidR="00CD07BC" w:rsidRDefault="00000000">
            <w:pPr>
              <w:keepNext/>
              <w:keepLines/>
              <w:spacing w:after="0" w:line="240" w:lineRule="auto"/>
            </w:pPr>
            <w:r>
              <w:rPr>
                <w:sz w:val="18"/>
              </w:rPr>
              <w:t>99691</w:t>
            </w:r>
          </w:p>
        </w:tc>
        <w:tc>
          <w:tcPr>
            <w:tcW w:w="1860" w:type="dxa"/>
            <w:tcMar>
              <w:top w:w="0" w:type="dxa"/>
              <w:bottom w:w="0" w:type="dxa"/>
            </w:tcMar>
            <w:vAlign w:val="center"/>
          </w:tcPr>
          <w:p w14:paraId="346DBF00" w14:textId="77777777" w:rsidR="00CD07BC" w:rsidRDefault="00000000">
            <w:pPr>
              <w:keepNext/>
              <w:keepLines/>
              <w:spacing w:after="0" w:line="240" w:lineRule="auto"/>
              <w:jc w:val="right"/>
            </w:pPr>
            <w:r>
              <w:rPr>
                <w:sz w:val="18"/>
              </w:rPr>
              <w:t>0,00</w:t>
            </w:r>
          </w:p>
        </w:tc>
        <w:tc>
          <w:tcPr>
            <w:tcW w:w="1860" w:type="dxa"/>
            <w:tcMar>
              <w:top w:w="0" w:type="dxa"/>
              <w:bottom w:w="0" w:type="dxa"/>
            </w:tcMar>
            <w:vAlign w:val="center"/>
          </w:tcPr>
          <w:p w14:paraId="7145362B" w14:textId="77777777" w:rsidR="00CD07BC" w:rsidRDefault="00000000">
            <w:pPr>
              <w:keepNext/>
              <w:keepLines/>
              <w:spacing w:after="0" w:line="240" w:lineRule="auto"/>
              <w:jc w:val="right"/>
            </w:pPr>
            <w:r>
              <w:rPr>
                <w:sz w:val="18"/>
              </w:rPr>
              <w:t>66.868,75</w:t>
            </w:r>
          </w:p>
        </w:tc>
        <w:tc>
          <w:tcPr>
            <w:tcW w:w="700" w:type="dxa"/>
            <w:tcMar>
              <w:top w:w="0" w:type="dxa"/>
              <w:bottom w:w="0" w:type="dxa"/>
            </w:tcMar>
            <w:vAlign w:val="center"/>
          </w:tcPr>
          <w:p w14:paraId="073C014B" w14:textId="77777777" w:rsidR="00CD07BC" w:rsidRDefault="00000000">
            <w:pPr>
              <w:keepNext/>
              <w:keepLines/>
              <w:spacing w:after="0" w:line="240" w:lineRule="auto"/>
              <w:jc w:val="right"/>
            </w:pPr>
            <w:r>
              <w:rPr>
                <w:sz w:val="18"/>
              </w:rPr>
              <w:t>-</w:t>
            </w:r>
          </w:p>
        </w:tc>
      </w:tr>
    </w:tbl>
    <w:p w14:paraId="37BF61A0" w14:textId="77777777" w:rsidR="00CD07BC" w:rsidRDefault="00CD07BC">
      <w:pPr>
        <w:spacing w:after="0"/>
      </w:pPr>
    </w:p>
    <w:p w14:paraId="44110546" w14:textId="77777777" w:rsidR="00CD07BC" w:rsidRDefault="00000000">
      <w:r>
        <w:lastRenderedPageBreak/>
        <w:t xml:space="preserve">Ostali </w:t>
      </w:r>
      <w:proofErr w:type="spellStart"/>
      <w:r>
        <w:t>izvanbilančni</w:t>
      </w:r>
      <w:proofErr w:type="spellEnd"/>
      <w:r>
        <w:t xml:space="preserve"> zapisi odnose se na obveze koje su preuzete izdavanjem narudžbenica za određene usluge i radove, a koji još nisu do kraja izvršeni te stoga nisu niti naplaćeni. Predviđa se završetak tih radova tijekom prve polovice 2026. godine. </w:t>
      </w:r>
    </w:p>
    <w:p w14:paraId="5C043993" w14:textId="77777777" w:rsidR="00CD07BC" w:rsidRDefault="00CD07BC"/>
    <w:p w14:paraId="2921B2DE" w14:textId="77777777" w:rsidR="00CD07BC" w:rsidRDefault="00000000">
      <w:pPr>
        <w:keepNext/>
        <w:spacing w:line="240" w:lineRule="auto"/>
        <w:jc w:val="center"/>
      </w:pPr>
      <w:r>
        <w:rPr>
          <w:b/>
          <w:sz w:val="28"/>
        </w:rPr>
        <w:t>Izvještaj o rashodima prema funkcijskoj klasifikaciji</w:t>
      </w:r>
    </w:p>
    <w:p w14:paraId="0CD7A8CC" w14:textId="77777777" w:rsidR="00CD07B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3B1B83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734BC9"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2F4845"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44845"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856AAB" w14:textId="77777777" w:rsidR="00CD07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59CF4E" w14:textId="77777777" w:rsidR="00CD07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72AB1F" w14:textId="77777777" w:rsidR="00CD07BC" w:rsidRDefault="00000000">
            <w:pPr>
              <w:keepNext/>
              <w:keepLines/>
              <w:spacing w:after="0" w:line="240" w:lineRule="auto"/>
              <w:jc w:val="center"/>
            </w:pPr>
            <w:r>
              <w:rPr>
                <w:b/>
                <w:sz w:val="18"/>
              </w:rPr>
              <w:t>Indeks (%)</w:t>
            </w:r>
          </w:p>
        </w:tc>
      </w:tr>
      <w:tr w:rsidR="00CD07BC" w14:paraId="30B56EB1" w14:textId="77777777">
        <w:tblPrEx>
          <w:tblCellMar>
            <w:top w:w="0" w:type="dxa"/>
            <w:bottom w:w="0" w:type="dxa"/>
          </w:tblCellMar>
        </w:tblPrEx>
        <w:trPr>
          <w:cantSplit/>
          <w:trHeight w:val="560"/>
        </w:trPr>
        <w:tc>
          <w:tcPr>
            <w:tcW w:w="700" w:type="dxa"/>
            <w:tcMar>
              <w:top w:w="0" w:type="dxa"/>
              <w:bottom w:w="0" w:type="dxa"/>
            </w:tcMar>
            <w:vAlign w:val="center"/>
          </w:tcPr>
          <w:p w14:paraId="2997DAB5" w14:textId="77777777" w:rsidR="00CD07BC" w:rsidRDefault="00000000">
            <w:pPr>
              <w:keepNext/>
              <w:keepLines/>
              <w:spacing w:after="0" w:line="240" w:lineRule="auto"/>
            </w:pPr>
            <w:r>
              <w:rPr>
                <w:sz w:val="18"/>
              </w:rPr>
              <w:t>063</w:t>
            </w:r>
          </w:p>
        </w:tc>
        <w:tc>
          <w:tcPr>
            <w:tcW w:w="3180" w:type="dxa"/>
            <w:tcMar>
              <w:top w:w="0" w:type="dxa"/>
              <w:bottom w:w="0" w:type="dxa"/>
            </w:tcMar>
            <w:vAlign w:val="center"/>
          </w:tcPr>
          <w:p w14:paraId="41AE12CB" w14:textId="77777777" w:rsidR="00CD07BC" w:rsidRDefault="00000000">
            <w:pPr>
              <w:keepNext/>
              <w:keepLines/>
              <w:spacing w:after="0" w:line="240" w:lineRule="auto"/>
            </w:pPr>
            <w:r>
              <w:rPr>
                <w:sz w:val="18"/>
              </w:rPr>
              <w:t>Opskrba vodom</w:t>
            </w:r>
          </w:p>
        </w:tc>
        <w:tc>
          <w:tcPr>
            <w:tcW w:w="700" w:type="dxa"/>
            <w:tcMar>
              <w:top w:w="0" w:type="dxa"/>
              <w:bottom w:w="0" w:type="dxa"/>
            </w:tcMar>
            <w:vAlign w:val="center"/>
          </w:tcPr>
          <w:p w14:paraId="4E13C2B2" w14:textId="77777777" w:rsidR="00CD07BC" w:rsidRDefault="00000000">
            <w:pPr>
              <w:keepNext/>
              <w:keepLines/>
              <w:spacing w:after="0" w:line="240" w:lineRule="auto"/>
            </w:pPr>
            <w:r>
              <w:rPr>
                <w:sz w:val="18"/>
              </w:rPr>
              <w:t>063</w:t>
            </w:r>
          </w:p>
        </w:tc>
        <w:tc>
          <w:tcPr>
            <w:tcW w:w="1860" w:type="dxa"/>
            <w:tcMar>
              <w:top w:w="0" w:type="dxa"/>
              <w:bottom w:w="0" w:type="dxa"/>
            </w:tcMar>
            <w:vAlign w:val="center"/>
          </w:tcPr>
          <w:p w14:paraId="67211568" w14:textId="77777777" w:rsidR="00CD07BC" w:rsidRDefault="00000000">
            <w:pPr>
              <w:keepNext/>
              <w:keepLines/>
              <w:spacing w:after="0" w:line="240" w:lineRule="auto"/>
              <w:jc w:val="right"/>
            </w:pPr>
            <w:r>
              <w:rPr>
                <w:sz w:val="18"/>
              </w:rPr>
              <w:t>374,94</w:t>
            </w:r>
          </w:p>
        </w:tc>
        <w:tc>
          <w:tcPr>
            <w:tcW w:w="1860" w:type="dxa"/>
            <w:tcMar>
              <w:top w:w="0" w:type="dxa"/>
              <w:bottom w:w="0" w:type="dxa"/>
            </w:tcMar>
            <w:vAlign w:val="center"/>
          </w:tcPr>
          <w:p w14:paraId="7B3F2273" w14:textId="77777777" w:rsidR="00CD07BC" w:rsidRDefault="00000000">
            <w:pPr>
              <w:keepNext/>
              <w:keepLines/>
              <w:spacing w:after="0" w:line="240" w:lineRule="auto"/>
              <w:jc w:val="right"/>
            </w:pPr>
            <w:r>
              <w:rPr>
                <w:sz w:val="18"/>
              </w:rPr>
              <w:t>152.029,47</w:t>
            </w:r>
          </w:p>
        </w:tc>
        <w:tc>
          <w:tcPr>
            <w:tcW w:w="700" w:type="dxa"/>
            <w:tcMar>
              <w:top w:w="0" w:type="dxa"/>
              <w:bottom w:w="0" w:type="dxa"/>
            </w:tcMar>
            <w:vAlign w:val="center"/>
          </w:tcPr>
          <w:p w14:paraId="401996A8" w14:textId="77777777" w:rsidR="00CD07BC" w:rsidRDefault="00000000">
            <w:pPr>
              <w:keepNext/>
              <w:keepLines/>
              <w:spacing w:after="0" w:line="240" w:lineRule="auto"/>
              <w:jc w:val="right"/>
            </w:pPr>
            <w:r>
              <w:rPr>
                <w:sz w:val="18"/>
              </w:rPr>
              <w:t>&gt;&gt;100</w:t>
            </w:r>
          </w:p>
        </w:tc>
      </w:tr>
    </w:tbl>
    <w:p w14:paraId="3B6456F7" w14:textId="77777777" w:rsidR="00CD07BC" w:rsidRDefault="00CD07BC">
      <w:pPr>
        <w:spacing w:after="0"/>
      </w:pPr>
    </w:p>
    <w:p w14:paraId="13691355" w14:textId="4AC989FE" w:rsidR="00CD07BC" w:rsidRDefault="00000000">
      <w:r>
        <w:t>Povećanje se odnosi na projektnu dokumentaciju za vodoopskrbu i odvo</w:t>
      </w:r>
      <w:r w:rsidR="005734B7">
        <w:t>d</w:t>
      </w:r>
      <w:r>
        <w:t>nju koja je od Općine predana trgovačkom društvu Vodovod i kanalizacija d.o.o. Karlovac koji su preuzeli vodoopskrbu na području Općine Krašić.</w:t>
      </w:r>
    </w:p>
    <w:p w14:paraId="41174FF0" w14:textId="77777777" w:rsidR="00CD07BC" w:rsidRDefault="00CD07BC"/>
    <w:p w14:paraId="36627C89" w14:textId="77777777" w:rsidR="00CD07B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0DC476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505F25"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5F044D"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34F389"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FA862" w14:textId="77777777" w:rsidR="00CD07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9B9ABB" w14:textId="77777777" w:rsidR="00CD07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8BDDB0" w14:textId="77777777" w:rsidR="00CD07BC" w:rsidRDefault="00000000">
            <w:pPr>
              <w:keepNext/>
              <w:keepLines/>
              <w:spacing w:after="0" w:line="240" w:lineRule="auto"/>
              <w:jc w:val="center"/>
            </w:pPr>
            <w:r>
              <w:rPr>
                <w:b/>
                <w:sz w:val="18"/>
              </w:rPr>
              <w:t>Indeks (%)</w:t>
            </w:r>
          </w:p>
        </w:tc>
      </w:tr>
      <w:tr w:rsidR="00CD07BC" w14:paraId="101FDBF4" w14:textId="77777777">
        <w:tblPrEx>
          <w:tblCellMar>
            <w:top w:w="0" w:type="dxa"/>
            <w:bottom w:w="0" w:type="dxa"/>
          </w:tblCellMar>
        </w:tblPrEx>
        <w:trPr>
          <w:cantSplit/>
          <w:trHeight w:val="560"/>
        </w:trPr>
        <w:tc>
          <w:tcPr>
            <w:tcW w:w="700" w:type="dxa"/>
            <w:tcMar>
              <w:top w:w="0" w:type="dxa"/>
              <w:bottom w:w="0" w:type="dxa"/>
            </w:tcMar>
            <w:vAlign w:val="center"/>
          </w:tcPr>
          <w:p w14:paraId="44F133F3" w14:textId="77777777" w:rsidR="00CD07BC" w:rsidRDefault="00000000">
            <w:pPr>
              <w:keepNext/>
              <w:keepLines/>
              <w:spacing w:after="0" w:line="240" w:lineRule="auto"/>
            </w:pPr>
            <w:r>
              <w:rPr>
                <w:sz w:val="18"/>
              </w:rPr>
              <w:t>066</w:t>
            </w:r>
          </w:p>
        </w:tc>
        <w:tc>
          <w:tcPr>
            <w:tcW w:w="3180" w:type="dxa"/>
            <w:tcMar>
              <w:top w:w="0" w:type="dxa"/>
              <w:bottom w:w="0" w:type="dxa"/>
            </w:tcMar>
            <w:vAlign w:val="center"/>
          </w:tcPr>
          <w:p w14:paraId="7462D4B4" w14:textId="77777777" w:rsidR="00CD07BC" w:rsidRDefault="00000000">
            <w:pPr>
              <w:keepNext/>
              <w:keepLines/>
              <w:spacing w:after="0" w:line="240" w:lineRule="auto"/>
            </w:pPr>
            <w:r>
              <w:rPr>
                <w:sz w:val="18"/>
              </w:rPr>
              <w:t>Rashodi vezani za stanovanje i kom. pogodnosti koji nisu drugdje svrstani</w:t>
            </w:r>
          </w:p>
        </w:tc>
        <w:tc>
          <w:tcPr>
            <w:tcW w:w="700" w:type="dxa"/>
            <w:tcMar>
              <w:top w:w="0" w:type="dxa"/>
              <w:bottom w:w="0" w:type="dxa"/>
            </w:tcMar>
            <w:vAlign w:val="center"/>
          </w:tcPr>
          <w:p w14:paraId="0E86FF05" w14:textId="77777777" w:rsidR="00CD07BC" w:rsidRDefault="00000000">
            <w:pPr>
              <w:keepNext/>
              <w:keepLines/>
              <w:spacing w:after="0" w:line="240" w:lineRule="auto"/>
            </w:pPr>
            <w:r>
              <w:rPr>
                <w:sz w:val="18"/>
              </w:rPr>
              <w:t>066</w:t>
            </w:r>
          </w:p>
        </w:tc>
        <w:tc>
          <w:tcPr>
            <w:tcW w:w="1860" w:type="dxa"/>
            <w:tcMar>
              <w:top w:w="0" w:type="dxa"/>
              <w:bottom w:w="0" w:type="dxa"/>
            </w:tcMar>
            <w:vAlign w:val="center"/>
          </w:tcPr>
          <w:p w14:paraId="6BF21F95" w14:textId="77777777" w:rsidR="00CD07BC" w:rsidRDefault="00000000">
            <w:pPr>
              <w:keepNext/>
              <w:keepLines/>
              <w:spacing w:after="0" w:line="240" w:lineRule="auto"/>
              <w:jc w:val="right"/>
            </w:pPr>
            <w:r>
              <w:rPr>
                <w:sz w:val="18"/>
              </w:rPr>
              <w:t>67.007,27</w:t>
            </w:r>
          </w:p>
        </w:tc>
        <w:tc>
          <w:tcPr>
            <w:tcW w:w="1860" w:type="dxa"/>
            <w:tcMar>
              <w:top w:w="0" w:type="dxa"/>
              <w:bottom w:w="0" w:type="dxa"/>
            </w:tcMar>
            <w:vAlign w:val="center"/>
          </w:tcPr>
          <w:p w14:paraId="42B27CE2" w14:textId="77777777" w:rsidR="00CD07BC" w:rsidRDefault="00000000">
            <w:pPr>
              <w:keepNext/>
              <w:keepLines/>
              <w:spacing w:after="0" w:line="240" w:lineRule="auto"/>
              <w:jc w:val="right"/>
            </w:pPr>
            <w:r>
              <w:rPr>
                <w:sz w:val="18"/>
              </w:rPr>
              <w:t>195.982,13</w:t>
            </w:r>
          </w:p>
        </w:tc>
        <w:tc>
          <w:tcPr>
            <w:tcW w:w="700" w:type="dxa"/>
            <w:tcMar>
              <w:top w:w="0" w:type="dxa"/>
              <w:bottom w:w="0" w:type="dxa"/>
            </w:tcMar>
            <w:vAlign w:val="center"/>
          </w:tcPr>
          <w:p w14:paraId="546DB75A" w14:textId="77777777" w:rsidR="00CD07BC" w:rsidRDefault="00000000">
            <w:pPr>
              <w:keepNext/>
              <w:keepLines/>
              <w:spacing w:after="0" w:line="240" w:lineRule="auto"/>
              <w:jc w:val="right"/>
            </w:pPr>
            <w:r>
              <w:rPr>
                <w:sz w:val="18"/>
              </w:rPr>
              <w:t>292,5</w:t>
            </w:r>
          </w:p>
        </w:tc>
      </w:tr>
    </w:tbl>
    <w:p w14:paraId="3145D477" w14:textId="77777777" w:rsidR="00CD07BC" w:rsidRDefault="00CD07BC">
      <w:pPr>
        <w:spacing w:after="0"/>
      </w:pPr>
    </w:p>
    <w:p w14:paraId="5EF4B53E" w14:textId="77777777" w:rsidR="00CD07BC" w:rsidRDefault="00000000">
      <w:r>
        <w:t>Povećanje se odnosi na kupnju zemljišta koja je Općina nabavljala tijekom 2025. godine. </w:t>
      </w:r>
    </w:p>
    <w:p w14:paraId="6CD9E775" w14:textId="77777777" w:rsidR="00CD07BC" w:rsidRDefault="00CD07BC"/>
    <w:p w14:paraId="7E916ED5" w14:textId="77777777" w:rsidR="00CD07B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2C4101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55E0FC"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A4E3E8"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C83C9B"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C9F3EF" w14:textId="77777777" w:rsidR="00CD07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9FC156" w14:textId="77777777" w:rsidR="00CD07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C8CBD8" w14:textId="77777777" w:rsidR="00CD07BC" w:rsidRDefault="00000000">
            <w:pPr>
              <w:keepNext/>
              <w:keepLines/>
              <w:spacing w:after="0" w:line="240" w:lineRule="auto"/>
              <w:jc w:val="center"/>
            </w:pPr>
            <w:r>
              <w:rPr>
                <w:b/>
                <w:sz w:val="18"/>
              </w:rPr>
              <w:t>Indeks (%)</w:t>
            </w:r>
          </w:p>
        </w:tc>
      </w:tr>
      <w:tr w:rsidR="00CD07BC" w14:paraId="2DB8160C" w14:textId="77777777">
        <w:tblPrEx>
          <w:tblCellMar>
            <w:top w:w="0" w:type="dxa"/>
            <w:bottom w:w="0" w:type="dxa"/>
          </w:tblCellMar>
        </w:tblPrEx>
        <w:trPr>
          <w:cantSplit/>
          <w:trHeight w:val="560"/>
        </w:trPr>
        <w:tc>
          <w:tcPr>
            <w:tcW w:w="700" w:type="dxa"/>
            <w:tcMar>
              <w:top w:w="0" w:type="dxa"/>
              <w:bottom w:w="0" w:type="dxa"/>
            </w:tcMar>
            <w:vAlign w:val="center"/>
          </w:tcPr>
          <w:p w14:paraId="54F1B123" w14:textId="77777777" w:rsidR="00CD07BC" w:rsidRDefault="00000000">
            <w:pPr>
              <w:keepNext/>
              <w:keepLines/>
              <w:spacing w:after="0" w:line="240" w:lineRule="auto"/>
            </w:pPr>
            <w:r>
              <w:rPr>
                <w:sz w:val="18"/>
              </w:rPr>
              <w:t>0911</w:t>
            </w:r>
          </w:p>
        </w:tc>
        <w:tc>
          <w:tcPr>
            <w:tcW w:w="3180" w:type="dxa"/>
            <w:tcMar>
              <w:top w:w="0" w:type="dxa"/>
              <w:bottom w:w="0" w:type="dxa"/>
            </w:tcMar>
            <w:vAlign w:val="center"/>
          </w:tcPr>
          <w:p w14:paraId="57255F7C" w14:textId="77777777" w:rsidR="00CD07BC" w:rsidRDefault="00000000">
            <w:pPr>
              <w:keepNext/>
              <w:keepLines/>
              <w:spacing w:after="0" w:line="240" w:lineRule="auto"/>
            </w:pPr>
            <w:r>
              <w:rPr>
                <w:sz w:val="18"/>
              </w:rPr>
              <w:t>Predškolsko obrazovanje</w:t>
            </w:r>
          </w:p>
        </w:tc>
        <w:tc>
          <w:tcPr>
            <w:tcW w:w="700" w:type="dxa"/>
            <w:tcMar>
              <w:top w:w="0" w:type="dxa"/>
              <w:bottom w:w="0" w:type="dxa"/>
            </w:tcMar>
            <w:vAlign w:val="center"/>
          </w:tcPr>
          <w:p w14:paraId="4FCCF4BC" w14:textId="77777777" w:rsidR="00CD07BC" w:rsidRDefault="00000000">
            <w:pPr>
              <w:keepNext/>
              <w:keepLines/>
              <w:spacing w:after="0" w:line="240" w:lineRule="auto"/>
            </w:pPr>
            <w:r>
              <w:rPr>
                <w:sz w:val="18"/>
              </w:rPr>
              <w:t>0911</w:t>
            </w:r>
          </w:p>
        </w:tc>
        <w:tc>
          <w:tcPr>
            <w:tcW w:w="1860" w:type="dxa"/>
            <w:tcMar>
              <w:top w:w="0" w:type="dxa"/>
              <w:bottom w:w="0" w:type="dxa"/>
            </w:tcMar>
            <w:vAlign w:val="center"/>
          </w:tcPr>
          <w:p w14:paraId="04D59E3A" w14:textId="77777777" w:rsidR="00CD07BC" w:rsidRDefault="00000000">
            <w:pPr>
              <w:keepNext/>
              <w:keepLines/>
              <w:spacing w:after="0" w:line="240" w:lineRule="auto"/>
              <w:jc w:val="right"/>
            </w:pPr>
            <w:r>
              <w:rPr>
                <w:sz w:val="18"/>
              </w:rPr>
              <w:t>123.178,45</w:t>
            </w:r>
          </w:p>
        </w:tc>
        <w:tc>
          <w:tcPr>
            <w:tcW w:w="1860" w:type="dxa"/>
            <w:tcMar>
              <w:top w:w="0" w:type="dxa"/>
              <w:bottom w:w="0" w:type="dxa"/>
            </w:tcMar>
            <w:vAlign w:val="center"/>
          </w:tcPr>
          <w:p w14:paraId="1223C6F4" w14:textId="77777777" w:rsidR="00CD07BC" w:rsidRDefault="00000000">
            <w:pPr>
              <w:keepNext/>
              <w:keepLines/>
              <w:spacing w:after="0" w:line="240" w:lineRule="auto"/>
              <w:jc w:val="right"/>
            </w:pPr>
            <w:r>
              <w:rPr>
                <w:sz w:val="18"/>
              </w:rPr>
              <w:t>840.244,82</w:t>
            </w:r>
          </w:p>
        </w:tc>
        <w:tc>
          <w:tcPr>
            <w:tcW w:w="700" w:type="dxa"/>
            <w:tcMar>
              <w:top w:w="0" w:type="dxa"/>
              <w:bottom w:w="0" w:type="dxa"/>
            </w:tcMar>
            <w:vAlign w:val="center"/>
          </w:tcPr>
          <w:p w14:paraId="019434BE" w14:textId="77777777" w:rsidR="00CD07BC" w:rsidRDefault="00000000">
            <w:pPr>
              <w:keepNext/>
              <w:keepLines/>
              <w:spacing w:after="0" w:line="240" w:lineRule="auto"/>
              <w:jc w:val="right"/>
            </w:pPr>
            <w:r>
              <w:rPr>
                <w:sz w:val="18"/>
              </w:rPr>
              <w:t>682,1</w:t>
            </w:r>
          </w:p>
        </w:tc>
      </w:tr>
    </w:tbl>
    <w:p w14:paraId="0A32869B" w14:textId="77777777" w:rsidR="00CD07BC" w:rsidRDefault="00CD07BC">
      <w:pPr>
        <w:spacing w:after="0"/>
      </w:pPr>
    </w:p>
    <w:p w14:paraId="4F62A8C9" w14:textId="77777777" w:rsidR="00CD07BC" w:rsidRDefault="00000000">
      <w:r>
        <w:t>Povećanje se odnosi na troškove izgradnje novog dječjeg vrtića u Krašiću.</w:t>
      </w:r>
    </w:p>
    <w:p w14:paraId="16F1F942" w14:textId="77777777" w:rsidR="00CD07BC" w:rsidRDefault="00CD07BC"/>
    <w:p w14:paraId="5BF406AE" w14:textId="77777777" w:rsidR="00CD07BC" w:rsidRDefault="00000000">
      <w:pPr>
        <w:keepNext/>
        <w:spacing w:line="240" w:lineRule="auto"/>
        <w:jc w:val="center"/>
      </w:pPr>
      <w:r>
        <w:rPr>
          <w:b/>
          <w:sz w:val="28"/>
        </w:rPr>
        <w:lastRenderedPageBreak/>
        <w:t>Promjene u vrijednosti i obujmu imovine i obveza</w:t>
      </w:r>
    </w:p>
    <w:p w14:paraId="3BB139C5" w14:textId="77777777" w:rsidR="00CD07B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D07BC" w14:paraId="58A269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021E60"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53FA42"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45DFE"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68C99" w14:textId="77777777" w:rsidR="00CD07B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3CCBF2E" w14:textId="77777777" w:rsidR="00CD07B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0CF37F3" w14:textId="77777777" w:rsidR="00CD07BC" w:rsidRDefault="00000000">
            <w:pPr>
              <w:keepNext/>
              <w:keepLines/>
              <w:spacing w:after="0" w:line="240" w:lineRule="auto"/>
              <w:jc w:val="center"/>
            </w:pPr>
            <w:r>
              <w:rPr>
                <w:b/>
                <w:sz w:val="18"/>
              </w:rPr>
              <w:t>Indeks (%)</w:t>
            </w:r>
          </w:p>
        </w:tc>
      </w:tr>
      <w:tr w:rsidR="00CD07BC" w14:paraId="42CAB5E6" w14:textId="77777777">
        <w:tblPrEx>
          <w:tblCellMar>
            <w:top w:w="0" w:type="dxa"/>
            <w:bottom w:w="0" w:type="dxa"/>
          </w:tblCellMar>
        </w:tblPrEx>
        <w:trPr>
          <w:cantSplit/>
          <w:trHeight w:val="560"/>
        </w:trPr>
        <w:tc>
          <w:tcPr>
            <w:tcW w:w="700" w:type="dxa"/>
            <w:tcMar>
              <w:top w:w="0" w:type="dxa"/>
              <w:bottom w:w="0" w:type="dxa"/>
            </w:tcMar>
            <w:vAlign w:val="center"/>
          </w:tcPr>
          <w:p w14:paraId="69ABAAF6" w14:textId="77777777" w:rsidR="00CD07BC" w:rsidRDefault="00000000">
            <w:pPr>
              <w:keepNext/>
              <w:keepLines/>
              <w:spacing w:after="0" w:line="240" w:lineRule="auto"/>
            </w:pPr>
            <w:r>
              <w:rPr>
                <w:sz w:val="18"/>
              </w:rPr>
              <w:t>9151</w:t>
            </w:r>
          </w:p>
        </w:tc>
        <w:tc>
          <w:tcPr>
            <w:tcW w:w="3180" w:type="dxa"/>
            <w:tcMar>
              <w:top w:w="0" w:type="dxa"/>
              <w:bottom w:w="0" w:type="dxa"/>
            </w:tcMar>
            <w:vAlign w:val="center"/>
          </w:tcPr>
          <w:p w14:paraId="79CA97D9" w14:textId="77777777" w:rsidR="00CD07BC"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C306307" w14:textId="77777777" w:rsidR="00CD07BC" w:rsidRDefault="00000000">
            <w:pPr>
              <w:keepNext/>
              <w:keepLines/>
              <w:spacing w:after="0" w:line="240" w:lineRule="auto"/>
            </w:pPr>
            <w:r>
              <w:rPr>
                <w:sz w:val="18"/>
              </w:rPr>
              <w:t>9151</w:t>
            </w:r>
          </w:p>
        </w:tc>
        <w:tc>
          <w:tcPr>
            <w:tcW w:w="1860" w:type="dxa"/>
            <w:tcMar>
              <w:top w:w="0" w:type="dxa"/>
              <w:bottom w:w="0" w:type="dxa"/>
            </w:tcMar>
            <w:vAlign w:val="center"/>
          </w:tcPr>
          <w:p w14:paraId="175405D9" w14:textId="77777777" w:rsidR="00CD07BC" w:rsidRDefault="00000000">
            <w:pPr>
              <w:keepNext/>
              <w:keepLines/>
              <w:spacing w:after="0" w:line="240" w:lineRule="auto"/>
              <w:jc w:val="right"/>
            </w:pPr>
            <w:r>
              <w:rPr>
                <w:sz w:val="18"/>
              </w:rPr>
              <w:t>0,00</w:t>
            </w:r>
          </w:p>
        </w:tc>
        <w:tc>
          <w:tcPr>
            <w:tcW w:w="1860" w:type="dxa"/>
            <w:tcMar>
              <w:top w:w="0" w:type="dxa"/>
              <w:bottom w:w="0" w:type="dxa"/>
            </w:tcMar>
            <w:vAlign w:val="center"/>
          </w:tcPr>
          <w:p w14:paraId="0D710484" w14:textId="77777777" w:rsidR="00CD07BC" w:rsidRDefault="00000000">
            <w:pPr>
              <w:keepNext/>
              <w:keepLines/>
              <w:spacing w:after="0" w:line="240" w:lineRule="auto"/>
              <w:jc w:val="right"/>
            </w:pPr>
            <w:r>
              <w:rPr>
                <w:sz w:val="18"/>
              </w:rPr>
              <w:t>371.546,90</w:t>
            </w:r>
          </w:p>
        </w:tc>
        <w:tc>
          <w:tcPr>
            <w:tcW w:w="700" w:type="dxa"/>
            <w:tcMar>
              <w:top w:w="0" w:type="dxa"/>
              <w:bottom w:w="0" w:type="dxa"/>
            </w:tcMar>
            <w:vAlign w:val="center"/>
          </w:tcPr>
          <w:p w14:paraId="43C6F5A6" w14:textId="77777777" w:rsidR="00CD07BC" w:rsidRDefault="00000000">
            <w:pPr>
              <w:keepNext/>
              <w:keepLines/>
              <w:spacing w:after="0" w:line="240" w:lineRule="auto"/>
              <w:jc w:val="right"/>
            </w:pPr>
            <w:r>
              <w:rPr>
                <w:sz w:val="18"/>
              </w:rPr>
              <w:t>-</w:t>
            </w:r>
          </w:p>
        </w:tc>
      </w:tr>
    </w:tbl>
    <w:p w14:paraId="75B1152A" w14:textId="77777777" w:rsidR="00CD07BC" w:rsidRDefault="00CD07BC">
      <w:pPr>
        <w:spacing w:after="0"/>
      </w:pPr>
    </w:p>
    <w:p w14:paraId="2585D995" w14:textId="77777777" w:rsidR="00CD07BC" w:rsidRDefault="00000000">
      <w:r>
        <w:t>U obrascu P-VRIO iskazane su sve one promjene u vrijednosti i obujmu imovine i obveza koje nisu rezultat financijskih aktivnosti, odnosno transakcija. Iz izvještaja je evidentno ukupno smanjenje u vrijednosti i obujmu imovine za 371.546,90 eura.</w:t>
      </w:r>
    </w:p>
    <w:p w14:paraId="1AF8DD35" w14:textId="77777777" w:rsidR="00CD07BC" w:rsidRDefault="00000000">
      <w:r>
        <w:t xml:space="preserve">Od toga se iznos od 371.496,13 eura odnosi na obračun amortizacije za 2025. godinu, a iznos od 50,77 eura odnosi se na </w:t>
      </w:r>
      <w:proofErr w:type="spellStart"/>
      <w:r>
        <w:t>isknjiženje</w:t>
      </w:r>
      <w:proofErr w:type="spellEnd"/>
      <w:r>
        <w:t xml:space="preserve"> dugotrajne imovine iz osnovnih sredstava.</w:t>
      </w:r>
    </w:p>
    <w:p w14:paraId="584AF6F2" w14:textId="77777777" w:rsidR="00CD07BC" w:rsidRDefault="00CD07BC"/>
    <w:p w14:paraId="4EF080B3" w14:textId="77777777" w:rsidR="00CD07BC" w:rsidRDefault="00000000">
      <w:pPr>
        <w:keepNext/>
        <w:spacing w:line="240" w:lineRule="auto"/>
        <w:jc w:val="center"/>
      </w:pPr>
      <w:r>
        <w:rPr>
          <w:b/>
          <w:sz w:val="28"/>
        </w:rPr>
        <w:t>Izvještaj o obvezama</w:t>
      </w:r>
    </w:p>
    <w:p w14:paraId="7B86243F" w14:textId="77777777" w:rsidR="00CD07B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D07BC" w14:paraId="34092F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298131" w14:textId="77777777" w:rsidR="00CD07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4E1BD4" w14:textId="77777777" w:rsidR="00CD07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E647C" w14:textId="77777777" w:rsidR="00CD07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B1EC65" w14:textId="77777777" w:rsidR="00CD07B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C6C891" w14:textId="77777777" w:rsidR="00CD07BC" w:rsidRDefault="00000000">
            <w:pPr>
              <w:keepNext/>
              <w:keepLines/>
              <w:spacing w:after="0" w:line="240" w:lineRule="auto"/>
              <w:jc w:val="center"/>
            </w:pPr>
            <w:r>
              <w:rPr>
                <w:b/>
                <w:sz w:val="18"/>
              </w:rPr>
              <w:t>Indeks (%)</w:t>
            </w:r>
          </w:p>
        </w:tc>
      </w:tr>
      <w:tr w:rsidR="00CD07BC" w14:paraId="3F49D62E" w14:textId="77777777">
        <w:tblPrEx>
          <w:tblCellMar>
            <w:top w:w="0" w:type="dxa"/>
            <w:bottom w:w="0" w:type="dxa"/>
          </w:tblCellMar>
        </w:tblPrEx>
        <w:trPr>
          <w:cantSplit/>
          <w:trHeight w:val="560"/>
        </w:trPr>
        <w:tc>
          <w:tcPr>
            <w:tcW w:w="700" w:type="dxa"/>
            <w:tcMar>
              <w:top w:w="0" w:type="dxa"/>
              <w:bottom w:w="0" w:type="dxa"/>
            </w:tcMar>
            <w:vAlign w:val="center"/>
          </w:tcPr>
          <w:p w14:paraId="5F6C5C41" w14:textId="77777777" w:rsidR="00CD07BC" w:rsidRDefault="00CD07BC">
            <w:pPr>
              <w:keepNext/>
              <w:keepLines/>
              <w:spacing w:after="0" w:line="240" w:lineRule="auto"/>
            </w:pPr>
          </w:p>
        </w:tc>
        <w:tc>
          <w:tcPr>
            <w:tcW w:w="3180" w:type="dxa"/>
            <w:tcMar>
              <w:top w:w="0" w:type="dxa"/>
              <w:bottom w:w="0" w:type="dxa"/>
            </w:tcMar>
            <w:vAlign w:val="center"/>
          </w:tcPr>
          <w:p w14:paraId="5B1C21A6" w14:textId="77777777" w:rsidR="00CD07B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143B6B1" w14:textId="77777777" w:rsidR="00CD07BC" w:rsidRDefault="00000000">
            <w:pPr>
              <w:keepNext/>
              <w:keepLines/>
              <w:spacing w:after="0" w:line="240" w:lineRule="auto"/>
            </w:pPr>
            <w:r>
              <w:rPr>
                <w:sz w:val="18"/>
              </w:rPr>
              <w:t>V007</w:t>
            </w:r>
          </w:p>
        </w:tc>
        <w:tc>
          <w:tcPr>
            <w:tcW w:w="1860" w:type="dxa"/>
            <w:tcMar>
              <w:top w:w="0" w:type="dxa"/>
              <w:bottom w:w="0" w:type="dxa"/>
            </w:tcMar>
            <w:vAlign w:val="center"/>
          </w:tcPr>
          <w:p w14:paraId="7DC498E3" w14:textId="77777777" w:rsidR="00CD07BC" w:rsidRDefault="00000000">
            <w:pPr>
              <w:keepNext/>
              <w:keepLines/>
              <w:spacing w:after="0" w:line="240" w:lineRule="auto"/>
              <w:jc w:val="right"/>
            </w:pPr>
            <w:r>
              <w:rPr>
                <w:sz w:val="18"/>
              </w:rPr>
              <w:t>27.378,98</w:t>
            </w:r>
          </w:p>
        </w:tc>
        <w:tc>
          <w:tcPr>
            <w:tcW w:w="700" w:type="dxa"/>
            <w:tcMar>
              <w:top w:w="0" w:type="dxa"/>
              <w:bottom w:w="0" w:type="dxa"/>
            </w:tcMar>
            <w:vAlign w:val="center"/>
          </w:tcPr>
          <w:p w14:paraId="7A2A2E94" w14:textId="77777777" w:rsidR="00CD07BC" w:rsidRDefault="00000000">
            <w:pPr>
              <w:keepNext/>
              <w:keepLines/>
              <w:spacing w:after="0" w:line="240" w:lineRule="auto"/>
              <w:jc w:val="right"/>
            </w:pPr>
            <w:r>
              <w:rPr>
                <w:sz w:val="18"/>
              </w:rPr>
              <w:t>-</w:t>
            </w:r>
          </w:p>
        </w:tc>
      </w:tr>
    </w:tbl>
    <w:p w14:paraId="0EAA8AA4" w14:textId="77777777" w:rsidR="00CD07BC" w:rsidRDefault="00CD07BC">
      <w:pPr>
        <w:spacing w:after="0"/>
      </w:pPr>
    </w:p>
    <w:p w14:paraId="3F956695" w14:textId="77777777" w:rsidR="00CD07BC" w:rsidRDefault="00000000">
      <w:r>
        <w:t>U Izvještaju o obvezama iskazuju se ukupne obveze Općine Krašić u razdoblju od 1. siječnja do 31. prosinca 2025. godine.  </w:t>
      </w:r>
    </w:p>
    <w:p w14:paraId="618D3406" w14:textId="77777777" w:rsidR="00CD07BC" w:rsidRDefault="00000000">
      <w:r>
        <w:t>Stanje obveza na kraju izvještajnog razdoblja iznosi 613.183,59 eura od čega dospjele obveze iznose 27.378,98 eura, a nedospjele obveze 585.804,61 eura.  </w:t>
      </w:r>
    </w:p>
    <w:p w14:paraId="0111B87A" w14:textId="77777777" w:rsidR="00CD07BC" w:rsidRDefault="00000000">
      <w:r>
        <w:t xml:space="preserve">Dospjele obveze odnose se na obveze za materijalne rashode, obveze za subvencije, obveze za naknade građanima i kućanstvima, obveze za kazne, naknade šteta i kapitalne pomoći, obveze za predujmove, obveze za depozite i </w:t>
      </w:r>
      <w:proofErr w:type="spellStart"/>
      <w:r>
        <w:t>jamčevne</w:t>
      </w:r>
      <w:proofErr w:type="spellEnd"/>
      <w:r>
        <w:t xml:space="preserve"> </w:t>
      </w:r>
      <w:proofErr w:type="spellStart"/>
      <w:r>
        <w:t>pologe</w:t>
      </w:r>
      <w:proofErr w:type="spellEnd"/>
      <w:r>
        <w:t xml:space="preserve"> te obveze za zajmove od trgovačkih društava i obrtnika izvan javnog sektora. Navedene dospjele obveze podmirene su početkom siječnja 2026. godine.</w:t>
      </w:r>
    </w:p>
    <w:p w14:paraId="1FDEE22F" w14:textId="77777777" w:rsidR="00CD07BC" w:rsidRDefault="00000000">
      <w:r>
        <w:t>Nedospjele obveze odnose se na obveze prema dobavljačima, obveze za zaposlene te redovite troškove poslovanja javne uprave, a najveći dio nedospjelih obveza (536.877,05 eura) odnosi se na obvezu prema izvođaču radova na izgradnji dječjeg vrtića u Krašiću.</w:t>
      </w:r>
    </w:p>
    <w:p w14:paraId="4497F1F4" w14:textId="77777777" w:rsidR="00CD07BC" w:rsidRDefault="00000000">
      <w:r>
        <w:t> </w:t>
      </w:r>
    </w:p>
    <w:p w14:paraId="1429EA8F" w14:textId="77777777" w:rsidR="00CD07BC" w:rsidRDefault="00CD07BC"/>
    <w:sectPr w:rsidR="00CD0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BC"/>
    <w:rsid w:val="00463EF3"/>
    <w:rsid w:val="005734B7"/>
    <w:rsid w:val="00CD07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E010"/>
  <w15:docId w15:val="{B4032689-8341-49EB-9263-144A1F42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Računovodstvo</cp:lastModifiedBy>
  <cp:revision>2</cp:revision>
  <dcterms:created xsi:type="dcterms:W3CDTF">2026-02-16T16:38:00Z</dcterms:created>
  <dcterms:modified xsi:type="dcterms:W3CDTF">2026-02-16T16:38:00Z</dcterms:modified>
</cp:coreProperties>
</file>